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Context:</w:t>
      </w:r>
      <w:r>
        <w:t xml:space="preserve"> </w:t>
      </w:r>
      <w:r>
        <w:t xml:space="preserve">Secondary Education Sector</w:t>
      </w:r>
    </w:p>
    <w:p>
      <w:pPr>
        <w:pStyle w:val="BodyText"/>
      </w:pPr>
      <w:r>
        <w:rPr>
          <w:bCs/>
          <w:b/>
        </w:rPr>
        <w:t xml:space="preserve">Location:</w:t>
      </w:r>
      <w:r>
        <w:t xml:space="preserve"> </w:t>
      </w:r>
      <w:r>
        <w:t xml:space="preserve">Frankfurt am Main, Hesse, Germany</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in accordance with the pedagogical standards established by the Hessian State Ministry of Education, Culture and Sport (HMWK). The review focuses on the professional practice of a Teacher Secondary assigned to a Gymnasium in the Frankfurt am Main district. The objective of this evaluation is to assess instructional quality, classroom management, and alignment with the local curriculum frameworks specific to the German secondary education system.</w:t>
      </w:r>
    </w:p>
    <w:p>
      <w:pPr>
        <w:pStyle w:val="BodyText"/>
      </w:pPr>
      <w:r>
        <w:t xml:space="preserve">The review process involved classroom observations, analysis of lesson planning documentation, and a reflective dialogue with the subject teacher. The findings indicate a high level of professional competence, particularly in the integration of differentiated instruction methods suitable for the diverse student body found in Frankfurt's urban educational landscape.</w:t>
      </w:r>
    </w:p>
    <w:bookmarkEnd w:id="21"/>
    <w:bookmarkStart w:id="22" w:name="teacher-and-context-profile"/>
    <w:p>
      <w:pPr>
        <w:pStyle w:val="Heading2"/>
      </w:pPr>
      <w:r>
        <w:t xml:space="preserve">2. Teacher and Context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Details</w:t>
            </w:r>
          </w:p>
        </w:tc>
      </w:tr>
      <w:tr>
        <w:tc>
          <w:tcPr/>
          <w:p>
            <w:pPr>
              <w:pStyle w:val="Compact"/>
              <w:jc w:val="left"/>
            </w:pPr>
            <w:r>
              <w:rPr>
                <w:bCs/>
                <w:b/>
              </w:rPr>
              <w:t xml:space="preserve">Role</w:t>
            </w:r>
          </w:p>
        </w:tc>
        <w:tc>
          <w:tcPr/>
          <w:p>
            <w:pPr>
              <w:pStyle w:val="Compact"/>
              <w:jc w:val="left"/>
            </w:pPr>
            <w:r>
              <w:t xml:space="preserve">Teacher Secondary (Subject Specialist: Mathematics &amp; Physics)</w:t>
            </w:r>
          </w:p>
        </w:tc>
      </w:tr>
      <w:tr>
        <w:tc>
          <w:tcPr/>
          <w:p>
            <w:pPr>
              <w:pStyle w:val="Compact"/>
              <w:jc w:val="left"/>
            </w:pPr>
            <w:r>
              <w:rPr>
                <w:bCs/>
                <w:b/>
              </w:rPr>
              <w:t xml:space="preserve">Institution Type</w:t>
            </w:r>
          </w:p>
        </w:tc>
        <w:tc>
          <w:tcPr/>
          <w:p>
            <w:pPr>
              <w:pStyle w:val="Compact"/>
              <w:jc w:val="left"/>
            </w:pPr>
            <w:r>
              <w:t xml:space="preserve">Gymnasium (Academic Secondary School)</w:t>
            </w:r>
          </w:p>
        </w:tc>
      </w:tr>
      <w:tr>
        <w:tc>
          <w:tcPr/>
          <w:p>
            <w:pPr>
              <w:pStyle w:val="Compact"/>
              <w:jc w:val="left"/>
            </w:pPr>
            <w:r>
              <w:rPr>
                <w:bCs/>
                <w:b/>
              </w:rPr>
              <w:t xml:space="preserve">Location</w:t>
            </w:r>
          </w:p>
        </w:tc>
        <w:tc>
          <w:tcPr/>
          <w:p>
            <w:pPr>
              <w:pStyle w:val="Compact"/>
              <w:jc w:val="left"/>
            </w:pPr>
            <w:r>
              <w:t xml:space="preserve">Frankfurt am Main, Germany</w:t>
            </w:r>
          </w:p>
        </w:tc>
      </w:tr>
      <w:tr>
        <w:tc>
          <w:tcPr/>
          <w:p>
            <w:pPr>
              <w:pStyle w:val="Compact"/>
              <w:jc w:val="left"/>
            </w:pPr>
            <w:r>
              <w:rPr>
                <w:bCs/>
                <w:b/>
              </w:rPr>
              <w:t xml:space="preserve">Grade Levels</w:t>
            </w:r>
          </w:p>
        </w:tc>
        <w:tc>
          <w:tcPr/>
          <w:p>
            <w:pPr>
              <w:pStyle w:val="Compact"/>
              <w:jc w:val="left"/>
            </w:pPr>
            <w:r>
              <w:t xml:space="preserve">Grades 8, 10, and 11 (Oberstufe)</w:t>
            </w:r>
          </w:p>
        </w:tc>
      </w:tr>
      <w:tr>
        <w:tc>
          <w:tcPr/>
          <w:p>
            <w:pPr>
              <w:pStyle w:val="Compact"/>
              <w:jc w:val="left"/>
            </w:pPr>
            <w:r>
              <w:rPr>
                <w:bCs/>
                <w:b/>
              </w:rPr>
              <w:t xml:space="preserve">Review Focus</w:t>
            </w:r>
          </w:p>
        </w:tc>
        <w:tc>
          <w:tcPr/>
          <w:p>
            <w:pPr>
              <w:pStyle w:val="Compact"/>
              <w:jc w:val="left"/>
            </w:pPr>
            <w:r>
              <w:t xml:space="preserve">Instructional Design, Student Engagement, and Assessment Practices</w:t>
            </w:r>
          </w:p>
        </w:tc>
      </w:tr>
    </w:tbl>
    <w:bookmarkEnd w:id="22"/>
    <w:bookmarkStart w:id="27" w:name="detailed-observations-and-analysis"/>
    <w:p>
      <w:pPr>
        <w:pStyle w:val="Heading2"/>
      </w:pPr>
      <w:r>
        <w:t xml:space="preserve">3. Detailed Observations and Analysis</w:t>
      </w:r>
    </w:p>
    <w:bookmarkStart w:id="23" w:name="X2f54dc4e46d757d5b487a7b6e140caa57153e5c"/>
    <w:p>
      <w:pPr>
        <w:pStyle w:val="Heading3"/>
      </w:pPr>
      <w:r>
        <w:t xml:space="preserve">3.1 Instructional Planning and Curriculum Alignment</w:t>
      </w:r>
    </w:p>
    <w:p>
      <w:pPr>
        <w:pStyle w:val="FirstParagraph"/>
      </w:pPr>
      <w:r>
        <w:t xml:space="preserve">The Teacher Secondary demonstrates a rigorous adherence to the Hessian curriculum standards (Lehrplan). Lesson plans reviewed for the period show clear learning objectives that align with the competencies required for the Abitur examinations. The teacher effectively utilizes the "Bildungsstandards" to scaffold complex concepts in mathematics and physics.</w:t>
      </w:r>
    </w:p>
    <w:p>
      <w:pPr>
        <w:pStyle w:val="BodyText"/>
      </w:pPr>
      <w:r>
        <w:t xml:space="preserve">Notably, the lesson planning reflects an awareness of the specific educational context of Germany Frankfurt. The teacher incorporates real-world examples relevant to the city, such as using data from the Frankfurt Stock Exchange or local engineering projects, to contextualize abstract scientific theories. This approach enhances student engagement and demonstrates a strong connection between theoretical knowledge and practical application.</w:t>
      </w:r>
    </w:p>
    <w:bookmarkEnd w:id="23"/>
    <w:bookmarkStart w:id="24" w:name="X13f42425fe5e3e244d3644255ee2032248f90cc"/>
    <w:p>
      <w:pPr>
        <w:pStyle w:val="Heading3"/>
      </w:pPr>
      <w:r>
        <w:t xml:space="preserve">3.2 Classroom Management and Learning Environment</w:t>
      </w:r>
    </w:p>
    <w:p>
      <w:pPr>
        <w:pStyle w:val="FirstParagraph"/>
      </w:pPr>
      <w:r>
        <w:t xml:space="preserve">Classroom management is characterized by a structured yet supportive environment. The teacher establishes clear expectations for behavior and academic participation, which is crucial in the German secondary school context where student autonomy is highly valued. The classroom atmosphere fosters intellectual curiosity while maintaining the discipline necessary for effective learning.</w:t>
      </w:r>
    </w:p>
    <w:p>
      <w:pPr>
        <w:pStyle w:val="BodyText"/>
      </w:pPr>
      <w:r>
        <w:t xml:space="preserve">The teacher successfully manages a heterogeneous group of students, including those with varying levels of German language proficiency. This is particularly relevant in Frankfurt, a cosmopolitan hub with a significant international population. The use of visual aids, bilingual glossaries, and peer-support strategies ensures that all students can access the core content of the lessons.</w:t>
      </w:r>
    </w:p>
    <w:bookmarkEnd w:id="24"/>
    <w:bookmarkStart w:id="25" w:name="X878e77509ca9763e2ed994aa35838c5ca7950d2"/>
    <w:p>
      <w:pPr>
        <w:pStyle w:val="Heading3"/>
      </w:pPr>
      <w:r>
        <w:t xml:space="preserve">3.3 Pedagogical Strategies and Differentiation</w:t>
      </w:r>
    </w:p>
    <w:p>
      <w:pPr>
        <w:pStyle w:val="FirstParagraph"/>
      </w:pPr>
      <w:r>
        <w:t xml:space="preserve">A key strength identified in this Peer Review Report is the teacher's ability to differentiate instruction. Recognizing the diverse learning needs within a secondary classroom, the teacher employs a variety of teaching methods, including direct instruction, collaborative group work, and independent research tasks.</w:t>
      </w:r>
    </w:p>
    <w:p>
      <w:pPr>
        <w:pStyle w:val="BodyText"/>
      </w:pPr>
      <w:r>
        <w:t xml:space="preserve">During the observed lesson in Grade 11, the teacher utilized a flipped classroom model, allowing students to review theoretical content at home and engage in problem-solving activities during class time. This method aligns with modern pedagogical trends in Germany and promotes active learning. The teacher circulated the room effectively, providing targeted feedback and support to students who required additional assistance.</w:t>
      </w:r>
    </w:p>
    <w:bookmarkEnd w:id="25"/>
    <w:bookmarkStart w:id="26" w:name="assessment-and-feedback"/>
    <w:p>
      <w:pPr>
        <w:pStyle w:val="Heading3"/>
      </w:pPr>
      <w:r>
        <w:t xml:space="preserve">3.4 Assessment and Feedback</w:t>
      </w:r>
    </w:p>
    <w:p>
      <w:pPr>
        <w:pStyle w:val="FirstParagraph"/>
      </w:pPr>
      <w:r>
        <w:t xml:space="preserve">Assessment practices are transparent and aligned with the grading standards of the Hessian education system. The teacher provides timely and constructive feedback on student work, focusing on both content accuracy and the development of critical thinking skills. Formative assessments are used regularly to monitor student progress and adjust instructional strategies accordingly.</w:t>
      </w:r>
    </w:p>
    <w:p>
      <w:pPr>
        <w:pStyle w:val="BodyText"/>
      </w:pPr>
      <w:r>
        <w:t xml:space="preserve">The teacher also emphasizes the importance of self-assessment and peer assessment, encouraging students to take ownership of their learning. This approach is consistent with the goals of the German secondary education system, which aims to prepare students for higher education and professional life.</w:t>
      </w:r>
    </w:p>
    <w:bookmarkEnd w:id="26"/>
    <w:bookmarkEnd w:id="27"/>
    <w:bookmarkStart w:id="28" w:name="strengths"/>
    <w:p>
      <w:pPr>
        <w:pStyle w:val="Heading2"/>
      </w:pPr>
      <w:r>
        <w:t xml:space="preserve">4. Strengths</w:t>
      </w:r>
    </w:p>
    <w:p>
      <w:pPr>
        <w:numPr>
          <w:ilvl w:val="0"/>
          <w:numId w:val="1001"/>
        </w:numPr>
        <w:pStyle w:val="Compact"/>
      </w:pPr>
      <w:r>
        <w:rPr>
          <w:bCs/>
          <w:b/>
        </w:rPr>
        <w:t xml:space="preserve">Subject Matter Expertise:</w:t>
      </w:r>
      <w:r>
        <w:t xml:space="preserve"> </w:t>
      </w:r>
      <w:r>
        <w:t xml:space="preserve">Demonstrates deep knowledge of mathematics and physics, enabling clear and accurate explanations of complex topics.</w:t>
      </w:r>
    </w:p>
    <w:p>
      <w:pPr>
        <w:numPr>
          <w:ilvl w:val="0"/>
          <w:numId w:val="1001"/>
        </w:numPr>
        <w:pStyle w:val="Compact"/>
      </w:pPr>
      <w:r>
        <w:rPr>
          <w:bCs/>
          <w:b/>
        </w:rPr>
        <w:t xml:space="preserve">Contextual Relevance:</w:t>
      </w:r>
      <w:r>
        <w:t xml:space="preserve"> </w:t>
      </w:r>
      <w:r>
        <w:t xml:space="preserve">Effectively integrates local Frankfurt examples into lessons, making content more relatable and engaging for students.</w:t>
      </w:r>
    </w:p>
    <w:p>
      <w:pPr>
        <w:numPr>
          <w:ilvl w:val="0"/>
          <w:numId w:val="1001"/>
        </w:numPr>
        <w:pStyle w:val="Compact"/>
      </w:pPr>
      <w:r>
        <w:rPr>
          <w:bCs/>
          <w:b/>
        </w:rPr>
        <w:t xml:space="preserve">Inclusivity:</w:t>
      </w:r>
      <w:r>
        <w:t xml:space="preserve"> </w:t>
      </w:r>
      <w:r>
        <w:t xml:space="preserve">Implements strategies to support students with diverse linguistic and cultural backgrounds, reflecting the multicultural nature of Frankfurt.</w:t>
      </w:r>
    </w:p>
    <w:p>
      <w:pPr>
        <w:numPr>
          <w:ilvl w:val="0"/>
          <w:numId w:val="1001"/>
        </w:numPr>
        <w:pStyle w:val="Compact"/>
      </w:pPr>
      <w:r>
        <w:rPr>
          <w:bCs/>
          <w:b/>
        </w:rPr>
        <w:t xml:space="preserve">Professionalism:</w:t>
      </w:r>
      <w:r>
        <w:t xml:space="preserve"> </w:t>
      </w:r>
      <w:r>
        <w:t xml:space="preserve">Maintains a high level of professionalism in interactions with students, colleagues, and parents.</w:t>
      </w:r>
    </w:p>
    <w:bookmarkEnd w:id="28"/>
    <w:bookmarkStart w:id="29" w:name="areas-for-development"/>
    <w:p>
      <w:pPr>
        <w:pStyle w:val="Heading2"/>
      </w:pPr>
      <w:r>
        <w:t xml:space="preserve">5. Areas for Development</w:t>
      </w:r>
    </w:p>
    <w:p>
      <w:pPr>
        <w:numPr>
          <w:ilvl w:val="0"/>
          <w:numId w:val="1002"/>
        </w:numPr>
        <w:pStyle w:val="Compact"/>
      </w:pPr>
      <w:r>
        <w:rPr>
          <w:bCs/>
          <w:b/>
        </w:rPr>
        <w:t xml:space="preserve">Technology Integration:</w:t>
      </w:r>
      <w:r>
        <w:t xml:space="preserve"> </w:t>
      </w:r>
      <w:r>
        <w:t xml:space="preserve">While basic digital tools are used, there is an opportunity to further integrate advanced educational technologies, such as interactive simulations or online collaborative platforms, to enhance student engagement.</w:t>
      </w:r>
    </w:p>
    <w:p>
      <w:pPr>
        <w:numPr>
          <w:ilvl w:val="0"/>
          <w:numId w:val="1002"/>
        </w:numPr>
        <w:pStyle w:val="Compact"/>
      </w:pPr>
      <w:r>
        <w:rPr>
          <w:bCs/>
          <w:b/>
        </w:rPr>
        <w:t xml:space="preserve">Extended Project Work:</w:t>
      </w:r>
      <w:r>
        <w:t xml:space="preserve"> </w:t>
      </w:r>
      <w:r>
        <w:t xml:space="preserve">Encouraging more long-term, interdisciplinary project-based learning could further develop students' research and collaboration skills, aligning with the goals of the Oberstufe.</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 to support the continued professional growth of the Teacher Secondary:</w:t>
      </w:r>
    </w:p>
    <w:p>
      <w:pPr>
        <w:numPr>
          <w:ilvl w:val="0"/>
          <w:numId w:val="1003"/>
        </w:numPr>
        <w:pStyle w:val="Compact"/>
      </w:pPr>
      <w:r>
        <w:t xml:space="preserve">Participate in professional development workshops focused on advanced educational technology integration.</w:t>
      </w:r>
    </w:p>
    <w:p>
      <w:pPr>
        <w:numPr>
          <w:ilvl w:val="0"/>
          <w:numId w:val="1003"/>
        </w:numPr>
        <w:pStyle w:val="Compact"/>
      </w:pPr>
      <w:r>
        <w:t xml:space="preserve">Collaborate with colleagues from other subject areas to design interdisciplinary projects that reflect the real-world challenges faced in Frankfurt and beyond.</w:t>
      </w:r>
    </w:p>
    <w:p>
      <w:pPr>
        <w:numPr>
          <w:ilvl w:val="0"/>
          <w:numId w:val="1003"/>
        </w:numPr>
        <w:pStyle w:val="Compact"/>
      </w:pPr>
      <w:r>
        <w:t xml:space="preserve">Continue to refine differentiation strategies to ensure that all students, regardless of their starting level, are challenged and supported appropriately.</w:t>
      </w:r>
    </w:p>
    <w:bookmarkEnd w:id="30"/>
    <w:bookmarkStart w:id="31" w:name="conclusion"/>
    <w:p>
      <w:pPr>
        <w:pStyle w:val="Heading2"/>
      </w:pPr>
      <w:r>
        <w:t xml:space="preserve">7. Conclusion</w:t>
      </w:r>
    </w:p>
    <w:p>
      <w:pPr>
        <w:pStyle w:val="FirstParagraph"/>
      </w:pPr>
      <w:r>
        <w:t xml:space="preserve">This Peer Review Report concludes that the Teacher Secondary is performing at a high level of professional competence. The teacher's commitment to instructional excellence, combined with a strong understanding of the educational context in Germany Frankfurt, makes a significant contribution to the academic success of their students. The recommendations provided are intended to support further development and innovation in teaching practice.</w:t>
      </w:r>
    </w:p>
    <w:bookmarkEnd w:id="31"/>
    <w:p>
      <w:pPr>
        <w:pStyle w:val="BodyText"/>
      </w:pPr>
      <w:r>
        <w:rPr>
          <w:bCs/>
          <w:b/>
        </w:rPr>
        <w:t xml:space="preserve">Reviewed by:</w:t>
      </w:r>
    </w:p>
    <w:p>
      <w:pPr>
        <w:pStyle w:val="BodyText"/>
      </w:pPr>
      <w:r>
        <w:t xml:space="preserve">Dr. Elena Weber</w:t>
      </w:r>
    </w:p>
    <w:p>
      <w:pPr>
        <w:pStyle w:val="BodyText"/>
      </w:pPr>
      <w:r>
        <w:t xml:space="preserve">Senior Pedagogical Advisor</w:t>
      </w:r>
    </w:p>
    <w:p>
      <w:pPr>
        <w:pStyle w:val="BodyText"/>
      </w:pPr>
      <w:r>
        <w:t xml:space="preserve">Frankfurt am Main School District</w:t>
      </w:r>
    </w:p>
    <w:p>
      <w:pPr>
        <w:pStyle w:val="BodyText"/>
      </w:pPr>
      <w:r>
        <w:br/>
      </w:r>
    </w:p>
    <w:p>
      <w:pPr>
        <w:pStyle w:val="BodyText"/>
      </w:pPr>
      <w:r>
        <w:rPr>
          <w:bCs/>
          <w:b/>
        </w:rPr>
        <w:t xml:space="preserve">Signature of Teacher Secondary:</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Frankfurt, Germany</dc:title>
  <dc:creator/>
  <dc:language>en</dc:language>
  <cp:keywords/>
  <dcterms:created xsi:type="dcterms:W3CDTF">2026-10-10T08:50:13Z</dcterms:created>
  <dcterms:modified xsi:type="dcterms:W3CDTF">2026-10-10T08:50:13Z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