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Mumbai,</w:t>
      </w:r>
      <w:r>
        <w:t xml:space="preserve"> </w:t>
      </w:r>
      <w:r>
        <w:t xml:space="preserve">India</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t xml:space="preserve">Location:</w:t>
      </w:r>
      <w:r>
        <w:t xml:space="preserve"> </w:t>
      </w:r>
      <w:r>
        <w:t xml:space="preserve">Mumbai, Maharashtra, India</w:t>
      </w:r>
    </w:p>
    <w:p>
      <w:pPr>
        <w:pStyle w:val="BodyText"/>
      </w:pPr>
      <w:r>
        <w:t xml:space="preserve">Level:</w:t>
      </w:r>
      <w:r>
        <w:t xml:space="preserve"> </w:t>
      </w:r>
      <w:r>
        <w:t xml:space="preserve">Teacher Secondary (Grades 9-12)</w:t>
      </w:r>
    </w:p>
    <w:p>
      <w:pPr>
        <w:pStyle w:val="BodyText"/>
      </w:pPr>
      <w:r>
        <w:t xml:space="preserve">Date of Review:</w:t>
      </w:r>
      <w:r>
        <w:t xml:space="preserve"> </w:t>
      </w:r>
      <w:r>
        <w:t xml:space="preserve">October 24, 2023</w:t>
      </w:r>
    </w:p>
    <w:p>
      <w:pPr>
        <w:pStyle w:val="BodyText"/>
      </w:pPr>
      <w: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documentation of the classroom observation and professional evaluation conducted for a</w:t>
      </w:r>
      <w:r>
        <w:t xml:space="preserve"> </w:t>
      </w:r>
      <w:r>
        <w:rPr>
          <w:bCs/>
          <w:b/>
        </w:rPr>
        <w:t xml:space="preserve">Teacher Secondary</w:t>
      </w:r>
      <w:r>
        <w:t xml:space="preserve"> </w:t>
      </w:r>
      <w:r>
        <w:t xml:space="preserve">position. The review takes place within the dynamic educational landscape of</w:t>
      </w:r>
      <w:r>
        <w:t xml:space="preserve"> </w:t>
      </w:r>
      <w:r>
        <w:rPr>
          <w:bCs/>
          <w:b/>
        </w:rPr>
        <w:t xml:space="preserve">India Mumbai</w:t>
      </w:r>
      <w:r>
        <w:t xml:space="preserve">, a metropolitan hub known for its diverse student population and rigorous academic standards.</w:t>
      </w:r>
    </w:p>
    <w:p>
      <w:pPr>
        <w:pStyle w:val="BodyText"/>
      </w:pPr>
      <w:r>
        <w:t xml:space="preserve">The purpose of this review is to assess pedagogical effectiveness, classroom management, curriculum alignment with the Maharashtra State Board or CBSE/ICSE standards (as applicable), and the teacher's ability to foster critical thinking among adolescents. In the context of Mumbai, where class sizes can be large and socio-economic diversity is high, the role of a</w:t>
      </w:r>
      <w:r>
        <w:t xml:space="preserve"> </w:t>
      </w:r>
      <w:r>
        <w:rPr>
          <w:bCs/>
          <w:b/>
        </w:rPr>
        <w:t xml:space="preserve">Teacher Secondary</w:t>
      </w:r>
      <w:r>
        <w:t xml:space="preserve"> </w:t>
      </w:r>
      <w:r>
        <w:t xml:space="preserve">is pivotal in ensuring equitable learning opportunities. This report aims to provide constructive feedback to support professional growth and enhance student outcomes.</w:t>
      </w:r>
    </w:p>
    <w:bookmarkEnd w:id="21"/>
    <w:bookmarkStart w:id="22" w:name="teacher-and-class-profile"/>
    <w:p>
      <w:pPr>
        <w:pStyle w:val="Heading2"/>
      </w:pPr>
      <w:r>
        <w:t xml:space="preserve">2. Teacher and Class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[Name Redacted for Privacy]</w:t>
            </w:r>
          </w:p>
        </w:tc>
      </w:tr>
      <w:tr>
        <w:tc>
          <w:tcPr/>
          <w:p>
            <w:pPr>
              <w:pStyle w:val="Compact"/>
              <w:jc w:val="left"/>
            </w:pPr>
            <w:r>
              <w:rPr>
                <w:bCs/>
                <w:b/>
              </w:rPr>
              <w:t xml:space="preserve">Subject Specialization</w:t>
            </w:r>
          </w:p>
        </w:tc>
        <w:tc>
          <w:tcPr/>
          <w:p>
            <w:pPr>
              <w:pStyle w:val="Compact"/>
              <w:jc w:val="left"/>
            </w:pPr>
            <w:r>
              <w:t xml:space="preserve">Secondary Science / Mathematics / English</w:t>
            </w:r>
          </w:p>
        </w:tc>
      </w:tr>
      <w:tr>
        <w:tc>
          <w:tcPr/>
          <w:p>
            <w:pPr>
              <w:pStyle w:val="Compact"/>
              <w:jc w:val="left"/>
            </w:pPr>
            <w:r>
              <w:rPr>
                <w:bCs/>
                <w:b/>
              </w:rPr>
              <w:t xml:space="preserve">Grade Level</w:t>
            </w:r>
          </w:p>
        </w:tc>
        <w:tc>
          <w:tcPr/>
          <w:p>
            <w:pPr>
              <w:pStyle w:val="Compact"/>
              <w:jc w:val="left"/>
            </w:pPr>
            <w:r>
              <w:t xml:space="preserve">Grade 10 (Secondary)</w:t>
            </w:r>
          </w:p>
        </w:tc>
      </w:tr>
      <w:tr>
        <w:tc>
          <w:tcPr/>
          <w:p>
            <w:pPr>
              <w:pStyle w:val="Compact"/>
              <w:jc w:val="left"/>
            </w:pPr>
            <w:r>
              <w:rPr>
                <w:bCs/>
                <w:b/>
              </w:rPr>
              <w:t xml:space="preserve">Class Size</w:t>
            </w:r>
          </w:p>
        </w:tc>
        <w:tc>
          <w:tcPr/>
          <w:p>
            <w:pPr>
              <w:pStyle w:val="Compact"/>
              <w:jc w:val="left"/>
            </w:pPr>
            <w:r>
              <w:t xml:space="preserve">45 Students</w:t>
            </w:r>
          </w:p>
        </w:tc>
      </w:tr>
      <w:tr>
        <w:tc>
          <w:tcPr/>
          <w:p>
            <w:pPr>
              <w:pStyle w:val="Compact"/>
              <w:jc w:val="left"/>
            </w:pPr>
            <w:r>
              <w:rPr>
                <w:bCs/>
                <w:b/>
              </w:rPr>
              <w:t xml:space="preserve">Duration of Observation</w:t>
            </w:r>
          </w:p>
        </w:tc>
        <w:tc>
          <w:tcPr/>
          <w:p>
            <w:pPr>
              <w:pStyle w:val="Compact"/>
              <w:jc w:val="left"/>
            </w:pPr>
            <w:r>
              <w:t xml:space="preserve">45 Minutes</w:t>
            </w:r>
          </w:p>
        </w:tc>
      </w:tr>
      <w:tr>
        <w:tc>
          <w:tcPr/>
          <w:p>
            <w:pPr>
              <w:pStyle w:val="Compact"/>
              <w:jc w:val="left"/>
            </w:pPr>
            <w:r>
              <w:rPr>
                <w:bCs/>
                <w:b/>
              </w:rPr>
              <w:t xml:space="preserve">Reviewer Name</w:t>
            </w:r>
          </w:p>
        </w:tc>
        <w:tc>
          <w:tcPr/>
          <w:p>
            <w:pPr>
              <w:pStyle w:val="Compact"/>
              <w:jc w:val="left"/>
            </w:pPr>
            <w:r>
              <w:t xml:space="preserve">Senior Faculty Member / Academic Coordinator</w:t>
            </w:r>
          </w:p>
        </w:tc>
      </w:tr>
    </w:tbl>
    <w:bookmarkEnd w:id="22"/>
    <w:bookmarkStart w:id="28" w:name="evaluation-criteria-and-rating-scale"/>
    <w:p>
      <w:pPr>
        <w:pStyle w:val="Heading2"/>
      </w:pPr>
      <w:r>
        <w:t xml:space="preserve">3. Evaluation Criteria and Rating Scale</w:t>
      </w:r>
    </w:p>
    <w:p>
      <w:pPr>
        <w:pStyle w:val="FirstParagraph"/>
      </w:pPr>
      <w:r>
        <w:t xml:space="preserve">Ratings are based on a 5-point scale:</w:t>
      </w:r>
      <w:r>
        <w:t xml:space="preserve"> </w:t>
      </w:r>
      <w:r>
        <w:rPr>
          <w:bCs/>
          <w:b/>
        </w:rPr>
        <w:t xml:space="preserve">5</w:t>
      </w:r>
      <w:r>
        <w:t xml:space="preserve"> </w:t>
      </w:r>
      <w:r>
        <w:t xml:space="preserve">(Exemplary),</w:t>
      </w:r>
      <w:r>
        <w:t xml:space="preserve"> </w:t>
      </w:r>
      <w:r>
        <w:rPr>
          <w:bCs/>
          <w:b/>
        </w:rPr>
        <w:t xml:space="preserve">4</w:t>
      </w:r>
      <w:r>
        <w:t xml:space="preserve"> </w:t>
      </w:r>
      <w:r>
        <w:t xml:space="preserve">(Proficient),</w:t>
      </w:r>
      <w:r>
        <w:t xml:space="preserve"> </w:t>
      </w:r>
      <w:r>
        <w:rPr>
          <w:bCs/>
          <w:b/>
        </w:rPr>
        <w:t xml:space="preserve">3</w:t>
      </w:r>
      <w:r>
        <w:t xml:space="preserve"> </w:t>
      </w:r>
      <w:r>
        <w:t xml:space="preserve">(Developing),</w:t>
      </w:r>
      <w:r>
        <w:t xml:space="preserve"> </w:t>
      </w:r>
      <w:r>
        <w:rPr>
          <w:bCs/>
          <w:b/>
        </w:rPr>
        <w:t xml:space="preserve">2</w:t>
      </w:r>
      <w:r>
        <w:t xml:space="preserve"> </w:t>
      </w:r>
      <w:r>
        <w:t xml:space="preserve">(Needs Improvement),</w:t>
      </w:r>
      <w:r>
        <w:t xml:space="preserve"> </w:t>
      </w:r>
      <w:r>
        <w:rPr>
          <w:bCs/>
          <w:b/>
        </w:rPr>
        <w:t xml:space="preserve">1</w:t>
      </w:r>
      <w:r>
        <w:t xml:space="preserve"> </w:t>
      </w:r>
      <w:r>
        <w:t xml:space="preserve">(Unsatisfactory).</w:t>
      </w:r>
    </w:p>
    <w:bookmarkStart w:id="23" w:name="lesson-planning-and-content-knowledge"/>
    <w:p>
      <w:pPr>
        <w:pStyle w:val="Heading3"/>
      </w:pPr>
      <w:r>
        <w:t xml:space="preserve">3.1 Lesson Planning and Content Knowledge</w:t>
      </w:r>
    </w:p>
    <w:p>
      <w:pPr>
        <w:pStyle w:val="FirstParagraph"/>
      </w:pPr>
      <w:r>
        <w:t xml:space="preserve">The</w:t>
      </w:r>
      <w:r>
        <w:t xml:space="preserve"> </w:t>
      </w:r>
      <w:r>
        <w:rPr>
          <w:bCs/>
          <w:b/>
        </w:rPr>
        <w:t xml:space="preserve">Teacher Secondary</w:t>
      </w:r>
      <w:r>
        <w:t xml:space="preserve"> </w:t>
      </w:r>
      <w:r>
        <w:t xml:space="preserve">demonstrated a strong command of the subject matter. The lesson plan was well-structured, aligning with the prescribed syllabus for the secondary level in</w:t>
      </w:r>
      <w:r>
        <w:t xml:space="preserve"> </w:t>
      </w:r>
      <w:r>
        <w:rPr>
          <w:bCs/>
          <w:b/>
        </w:rPr>
        <w:t xml:space="preserve">India Mumbai</w:t>
      </w:r>
      <w:r>
        <w:t xml:space="preserve">. Objectives were clearly stated at the beginning of the session. The teacher effectively utilized local examples relevant to Mumbai students to explain abstract concepts, which significantly enhanced student engagement. However, there was a slight lack of differentiation for students with varying learning paces, a common challenge in large urban classrooms.</w:t>
      </w:r>
    </w:p>
    <w:p>
      <w:pPr>
        <w:pStyle w:val="BodyText"/>
      </w:pPr>
      <w:r>
        <w:rPr>
          <w:bCs/>
          <w:b/>
        </w:rPr>
        <w:t xml:space="preserve">Rating: 4 (Proficient)</w:t>
      </w:r>
    </w:p>
    <w:bookmarkEnd w:id="23"/>
    <w:bookmarkStart w:id="24" w:name="Xd2b21e284c478e8da8f8b6aa41a27cd01573145"/>
    <w:p>
      <w:pPr>
        <w:pStyle w:val="Heading3"/>
      </w:pPr>
      <w:r>
        <w:t xml:space="preserve">3.2 Instructional Strategies and Student Engagement</w:t>
      </w:r>
    </w:p>
    <w:p>
      <w:pPr>
        <w:pStyle w:val="FirstParagraph"/>
      </w:pPr>
      <w:r>
        <w:t xml:space="preserve">Instructional methods were varied, incorporating direct instruction, group discussions, and visual aids. The teacher successfully managed the high energy typical of secondary students in Mumbai schools. Interactive questioning techniques were used to check for understanding. The use of technology, such as digital projectors or smartboards, was integrated smoothly. The teacher encouraged participation from quieter students, fostering an inclusive environment. To improve, the teacher could incorporate more project-based learning activities that reflect real-world problem-solving scenarios relevant to the city.</w:t>
      </w:r>
    </w:p>
    <w:p>
      <w:pPr>
        <w:pStyle w:val="BodyText"/>
      </w:pPr>
      <w:r>
        <w:rPr>
          <w:bCs/>
          <w:b/>
        </w:rPr>
        <w:t xml:space="preserve">Rating: 5 (Exemplary)</w:t>
      </w:r>
    </w:p>
    <w:bookmarkEnd w:id="24"/>
    <w:bookmarkStart w:id="25" w:name="classroom-management-and-environment"/>
    <w:p>
      <w:pPr>
        <w:pStyle w:val="Heading3"/>
      </w:pPr>
      <w:r>
        <w:t xml:space="preserve">3.3 Classroom Management and Environment</w:t>
      </w:r>
    </w:p>
    <w:p>
      <w:pPr>
        <w:pStyle w:val="FirstParagraph"/>
      </w:pPr>
      <w:r>
        <w:t xml:space="preserve">Given the context of</w:t>
      </w:r>
      <w:r>
        <w:t xml:space="preserve"> </w:t>
      </w:r>
      <w:r>
        <w:rPr>
          <w:bCs/>
          <w:b/>
        </w:rPr>
        <w:t xml:space="preserve">India Mumbai</w:t>
      </w:r>
      <w:r>
        <w:t xml:space="preserve">, where classrooms can be bustling, the teacher maintained a disciplined yet supportive atmosphere. Rules and expectations were clear. Transitions between activities were efficient, minimizing downtime. The teacher addressed behavioral issues promptly and privately, preserving student dignity. The physical arrangement of the classroom facilitated both teacher-led instruction and peer collaboration. The environment was conducive to learning, with educational materials displayed prominently.</w:t>
      </w:r>
    </w:p>
    <w:p>
      <w:pPr>
        <w:pStyle w:val="BodyText"/>
      </w:pPr>
      <w:r>
        <w:rPr>
          <w:bCs/>
          <w:b/>
        </w:rPr>
        <w:t xml:space="preserve">Rating: 4 (Proficient)</w:t>
      </w:r>
    </w:p>
    <w:bookmarkEnd w:id="25"/>
    <w:bookmarkStart w:id="26" w:name="assessment-and-feedback"/>
    <w:p>
      <w:pPr>
        <w:pStyle w:val="Heading3"/>
      </w:pPr>
      <w:r>
        <w:t xml:space="preserve">3.4 Assessment and Feedback</w:t>
      </w:r>
    </w:p>
    <w:p>
      <w:pPr>
        <w:pStyle w:val="FirstParagraph"/>
      </w:pPr>
      <w:r>
        <w:t xml:space="preserve">Formative assessment was embedded throughout the lesson. The teacher provided immediate feedback to students, correcting misconceptions on the spot. Homework assignments were relevant and reinforced the day's learning. However, the feedback could be more specific and actionable to help students improve their performance in upcoming board examinations. The teacher should consider implementing peer-assessment strategies to further develop students' critical evaluation skills.</w:t>
      </w:r>
    </w:p>
    <w:p>
      <w:pPr>
        <w:pStyle w:val="BodyText"/>
      </w:pPr>
      <w:r>
        <w:rPr>
          <w:bCs/>
          <w:b/>
        </w:rPr>
        <w:t xml:space="preserve">Rating: 3 (Developing)</w:t>
      </w:r>
    </w:p>
    <w:bookmarkEnd w:id="26"/>
    <w:bookmarkStart w:id="27" w:name="professionalism-and-collaboration"/>
    <w:p>
      <w:pPr>
        <w:pStyle w:val="Heading3"/>
      </w:pPr>
      <w:r>
        <w:t xml:space="preserve">3.5 Professionalism and Collaboration</w:t>
      </w:r>
    </w:p>
    <w:p>
      <w:pPr>
        <w:pStyle w:val="FirstParagraph"/>
      </w:pPr>
      <w:r>
        <w:t xml:space="preserve">The</w:t>
      </w:r>
      <w:r>
        <w:t xml:space="preserve"> </w:t>
      </w:r>
      <w:r>
        <w:rPr>
          <w:bCs/>
          <w:b/>
        </w:rPr>
        <w:t xml:space="preserve">Teacher Secondary</w:t>
      </w:r>
      <w:r>
        <w:t xml:space="preserve"> </w:t>
      </w:r>
      <w:r>
        <w:t xml:space="preserve">exhibited high levels of professionalism. Punctuality, preparedness, and respect for students and colleagues were evident. The teacher actively participated in departmental meetings and showed a willingness to adopt new pedagogical approaches. In the collaborative culture of Mumbai's educational institutions, this teacher is seen as a supportive team member who contributes positively to the school community.</w:t>
      </w:r>
    </w:p>
    <w:p>
      <w:pPr>
        <w:pStyle w:val="BodyText"/>
      </w:pPr>
      <w:r>
        <w:rPr>
          <w:bCs/>
          <w:b/>
        </w:rPr>
        <w:t xml:space="preserve">Rating: 5 (Exemplary)</w:t>
      </w:r>
    </w:p>
    <w:bookmarkEnd w:id="27"/>
    <w:bookmarkEnd w:id="28"/>
    <w:bookmarkStart w:id="29" w:name="strengths"/>
    <w:p>
      <w:pPr>
        <w:pStyle w:val="Heading2"/>
      </w:pPr>
      <w:r>
        <w:t xml:space="preserve">4. Strengths</w:t>
      </w:r>
    </w:p>
    <w:p>
      <w:pPr>
        <w:numPr>
          <w:ilvl w:val="0"/>
          <w:numId w:val="1001"/>
        </w:numPr>
        <w:pStyle w:val="Compact"/>
      </w:pPr>
      <w:r>
        <w:rPr>
          <w:bCs/>
          <w:b/>
        </w:rPr>
        <w:t xml:space="preserve">Strong Content Mastery:</w:t>
      </w:r>
      <w:r>
        <w:t xml:space="preserve"> </w:t>
      </w:r>
      <w:r>
        <w:t xml:space="preserve">Deep understanding of the secondary curriculum and ability to explain complex topics clearly.</w:t>
      </w:r>
    </w:p>
    <w:p>
      <w:pPr>
        <w:numPr>
          <w:ilvl w:val="0"/>
          <w:numId w:val="1001"/>
        </w:numPr>
        <w:pStyle w:val="Compact"/>
      </w:pPr>
      <w:r>
        <w:rPr>
          <w:bCs/>
          <w:b/>
        </w:rPr>
        <w:t xml:space="preserve">Effective Engagement:</w:t>
      </w:r>
      <w:r>
        <w:t xml:space="preserve"> </w:t>
      </w:r>
      <w:r>
        <w:t xml:space="preserve">Ability to connect with students from diverse backgrounds in Mumbai, making lessons relatable and interesting.</w:t>
      </w:r>
    </w:p>
    <w:p>
      <w:pPr>
        <w:numPr>
          <w:ilvl w:val="0"/>
          <w:numId w:val="1001"/>
        </w:numPr>
        <w:pStyle w:val="Compact"/>
      </w:pPr>
      <w:r>
        <w:rPr>
          <w:bCs/>
          <w:b/>
        </w:rPr>
        <w:t xml:space="preserve">Classroom Control:</w:t>
      </w:r>
      <w:r>
        <w:t xml:space="preserve"> </w:t>
      </w:r>
      <w:r>
        <w:t xml:space="preserve">Excellent management of a large class size, maintaining order without being authoritarian.</w:t>
      </w:r>
    </w:p>
    <w:p>
      <w:pPr>
        <w:numPr>
          <w:ilvl w:val="0"/>
          <w:numId w:val="1001"/>
        </w:numPr>
        <w:pStyle w:val="Compact"/>
      </w:pPr>
      <w:r>
        <w:rPr>
          <w:bCs/>
          <w:b/>
        </w:rPr>
        <w:t xml:space="preserve">Use of Local Context:</w:t>
      </w:r>
      <w:r>
        <w:t xml:space="preserve"> </w:t>
      </w:r>
      <w:r>
        <w:t xml:space="preserve">Skillful integration of Mumbai-specific examples to enhance learning relevance.</w:t>
      </w:r>
    </w:p>
    <w:p>
      <w:pPr>
        <w:numPr>
          <w:ilvl w:val="0"/>
          <w:numId w:val="1001"/>
        </w:numPr>
        <w:pStyle w:val="Compact"/>
      </w:pPr>
      <w:r>
        <w:rPr>
          <w:bCs/>
          <w:b/>
        </w:rPr>
        <w:t xml:space="preserve">Positive Attitude:</w:t>
      </w:r>
      <w:r>
        <w:t xml:space="preserve"> </w:t>
      </w:r>
      <w:r>
        <w:t xml:space="preserve">Enthusiastic and approachable demeanor that encourages student participation.</w:t>
      </w:r>
    </w:p>
    <w:bookmarkEnd w:id="29"/>
    <w:bookmarkStart w:id="30" w:name="areas-for-improvement"/>
    <w:p>
      <w:pPr>
        <w:pStyle w:val="Heading2"/>
      </w:pPr>
      <w:r>
        <w:t xml:space="preserve">5. Areas for Improvement</w:t>
      </w:r>
    </w:p>
    <w:p>
      <w:pPr>
        <w:numPr>
          <w:ilvl w:val="0"/>
          <w:numId w:val="1002"/>
        </w:numPr>
        <w:pStyle w:val="Compact"/>
      </w:pPr>
      <w:r>
        <w:rPr>
          <w:bCs/>
          <w:b/>
        </w:rPr>
        <w:t xml:space="preserve">Differentiated Instruction:</w:t>
      </w:r>
      <w:r>
        <w:t xml:space="preserve"> </w:t>
      </w:r>
      <w:r>
        <w:t xml:space="preserve">Need to provide more tailored support for students who are struggling or those who are advanced, considering the wide ability range in Mumbai schools.</w:t>
      </w:r>
    </w:p>
    <w:p>
      <w:pPr>
        <w:numPr>
          <w:ilvl w:val="0"/>
          <w:numId w:val="1002"/>
        </w:numPr>
        <w:pStyle w:val="Compact"/>
      </w:pPr>
      <w:r>
        <w:rPr>
          <w:bCs/>
          <w:b/>
        </w:rPr>
        <w:t xml:space="preserve">Feedback Quality:</w:t>
      </w:r>
      <w:r>
        <w:t xml:space="preserve"> </w:t>
      </w:r>
      <w:r>
        <w:t xml:space="preserve">Enhance the specificity and depth of feedback given to students to better prepare them for high-stakes examinations.</w:t>
      </w:r>
    </w:p>
    <w:p>
      <w:pPr>
        <w:numPr>
          <w:ilvl w:val="0"/>
          <w:numId w:val="1002"/>
        </w:numPr>
        <w:pStyle w:val="Compact"/>
      </w:pPr>
      <w:r>
        <w:rPr>
          <w:bCs/>
          <w:b/>
        </w:rPr>
        <w:t xml:space="preserve">Technology Integration:</w:t>
      </w:r>
      <w:r>
        <w:t xml:space="preserve"> </w:t>
      </w:r>
      <w:r>
        <w:t xml:space="preserve">Explore more interactive digital tools and platforms to supplement traditional teaching methods.</w:t>
      </w:r>
    </w:p>
    <w:p>
      <w:pPr>
        <w:numPr>
          <w:ilvl w:val="0"/>
          <w:numId w:val="1002"/>
        </w:numPr>
        <w:pStyle w:val="Compact"/>
      </w:pPr>
      <w:r>
        <w:rPr>
          <w:bCs/>
          <w:b/>
        </w:rPr>
        <w:t xml:space="preserve">Student-Centered Learning:</w:t>
      </w:r>
      <w:r>
        <w:t xml:space="preserve"> </w:t>
      </w:r>
      <w:r>
        <w:t xml:space="preserve">Increase opportunities for student-led inquiry and collaborative projects to develop higher-order thinking skills.</w:t>
      </w:r>
    </w:p>
    <w:bookmarkEnd w:id="30"/>
    <w:bookmarkStart w:id="31" w:name="recommendations-and-action-plan"/>
    <w:p>
      <w:pPr>
        <w:pStyle w:val="Heading2"/>
      </w:pPr>
      <w:r>
        <w:t xml:space="preserve">6. Recommendations and Action Plan</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Teacher Secondary</w:t>
      </w:r>
      <w:r>
        <w:t xml:space="preserve">:</w:t>
      </w:r>
    </w:p>
    <w:p>
      <w:pPr>
        <w:numPr>
          <w:ilvl w:val="0"/>
          <w:numId w:val="1003"/>
        </w:numPr>
        <w:pStyle w:val="Compact"/>
      </w:pPr>
      <w:r>
        <w:rPr>
          <w:bCs/>
          <w:b/>
        </w:rPr>
        <w:t xml:space="preserve">Professional Development:</w:t>
      </w:r>
      <w:r>
        <w:t xml:space="preserve"> </w:t>
      </w:r>
      <w:r>
        <w:t xml:space="preserve">Attend workshops on differentiated instruction and formative assessment strategies, available through local educational bodies in Maharashtra.</w:t>
      </w:r>
    </w:p>
    <w:p>
      <w:pPr>
        <w:numPr>
          <w:ilvl w:val="0"/>
          <w:numId w:val="1003"/>
        </w:numPr>
        <w:pStyle w:val="Compact"/>
      </w:pPr>
      <w:r>
        <w:rPr>
          <w:bCs/>
          <w:b/>
        </w:rPr>
        <w:t xml:space="preserve">Peer Collaboration:</w:t>
      </w:r>
      <w:r>
        <w:t xml:space="preserve"> </w:t>
      </w:r>
      <w:r>
        <w:t xml:space="preserve">Engage in regular lesson planning sessions with colleagues to share best practices and resources.</w:t>
      </w:r>
    </w:p>
    <w:p>
      <w:pPr>
        <w:numPr>
          <w:ilvl w:val="0"/>
          <w:numId w:val="1003"/>
        </w:numPr>
        <w:pStyle w:val="Compact"/>
      </w:pPr>
      <w:r>
        <w:rPr>
          <w:bCs/>
          <w:b/>
        </w:rPr>
        <w:t xml:space="preserve">Reflective Practice:</w:t>
      </w:r>
      <w:r>
        <w:t xml:space="preserve"> </w:t>
      </w:r>
      <w:r>
        <w:t xml:space="preserve">Maintain a teaching journal to reflect on lessons and identify areas for continuous improvement.</w:t>
      </w:r>
    </w:p>
    <w:p>
      <w:pPr>
        <w:numPr>
          <w:ilvl w:val="0"/>
          <w:numId w:val="1003"/>
        </w:numPr>
        <w:pStyle w:val="Compact"/>
      </w:pPr>
      <w:r>
        <w:rPr>
          <w:bCs/>
          <w:b/>
        </w:rPr>
        <w:t xml:space="preserve">Student Feedback:</w:t>
      </w:r>
      <w:r>
        <w:t xml:space="preserve"> </w:t>
      </w:r>
      <w:r>
        <w:t xml:space="preserve">Periodically solicit anonymous feedback from students to understand their learning experiences and adjust teaching methods accordingly.</w:t>
      </w:r>
    </w:p>
    <w:p>
      <w:pPr>
        <w:numPr>
          <w:ilvl w:val="0"/>
          <w:numId w:val="1003"/>
        </w:numPr>
        <w:pStyle w:val="Compact"/>
      </w:pPr>
      <w:r>
        <w:rPr>
          <w:bCs/>
          <w:b/>
        </w:rPr>
        <w:t xml:space="preserve">Follow-up Observation:</w:t>
      </w:r>
      <w:r>
        <w:t xml:space="preserve"> </w:t>
      </w:r>
      <w:r>
        <w:t xml:space="preserve">Schedule a follow-up classroom observation in three months to monitor progress in the identified areas.</w:t>
      </w:r>
    </w:p>
    <w:bookmarkEnd w:id="31"/>
    <w:bookmarkStart w:id="32" w:name="conclusion"/>
    <w:p>
      <w:pPr>
        <w:pStyle w:val="Heading2"/>
      </w:pPr>
      <w:r>
        <w:t xml:space="preserve">7. Conclusion</w:t>
      </w:r>
    </w:p>
    <w:p>
      <w:pPr>
        <w:pStyle w:val="FirstParagraph"/>
      </w:pPr>
      <w:r>
        <w:t xml:space="preserve">Overall, the</w:t>
      </w:r>
      <w:r>
        <w:t xml:space="preserve"> </w:t>
      </w:r>
      <w:r>
        <w:rPr>
          <w:bCs/>
          <w:b/>
        </w:rPr>
        <w:t xml:space="preserve">Teacher Secondary</w:t>
      </w:r>
      <w:r>
        <w:t xml:space="preserve"> </w:t>
      </w:r>
      <w:r>
        <w:t xml:space="preserve">under review demonstrates a high level of competence and dedication to their profession. Their ability to navigate the complexities of teaching in</w:t>
      </w:r>
      <w:r>
        <w:t xml:space="preserve"> </w:t>
      </w:r>
      <w:r>
        <w:rPr>
          <w:bCs/>
          <w:b/>
        </w:rPr>
        <w:t xml:space="preserve">India Mumbai</w:t>
      </w:r>
      <w:r>
        <w:t xml:space="preserve"> </w:t>
      </w:r>
      <w:r>
        <w:t xml:space="preserve">is commendable. With focused efforts on differentiated instruction and enhanced feedback mechanisms, this teacher has the potential to become an exemplary educator. This</w:t>
      </w:r>
      <w:r>
        <w:t xml:space="preserve"> </w:t>
      </w:r>
      <w:r>
        <w:rPr>
          <w:bCs/>
          <w:b/>
        </w:rPr>
        <w:t xml:space="preserve">Peer Review Report</w:t>
      </w:r>
      <w:r>
        <w:t xml:space="preserve"> </w:t>
      </w:r>
      <w:r>
        <w:t xml:space="preserve">is intended to support their ongoing professional journey and contribute to the academic excellence of the institution.</w:t>
      </w:r>
    </w:p>
    <w:bookmarkEnd w:id="32"/>
    <w:p>
      <w:pPr>
        <w:pStyle w:val="BodyText"/>
      </w:pPr>
      <w:r>
        <w:rPr>
          <w:bCs/>
          <w:b/>
        </w:rPr>
        <w:t xml:space="preserve">Reviewer Signature:</w:t>
      </w:r>
    </w:p>
    <w:p>
      <w:pPr>
        <w:pStyle w:val="BodyText"/>
      </w:pP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Designation:</w:t>
      </w:r>
      <w:r>
        <w:t xml:space="preserve"> </w:t>
      </w:r>
      <w:r>
        <w:t xml:space="preserve">Senior Faculty / Coordinator</w:t>
      </w:r>
    </w:p>
    <w:p>
      <w:pPr>
        <w:pStyle w:val="BodyText"/>
      </w:pPr>
      <w:r>
        <w:rPr>
          <w:bCs/>
          <w:b/>
        </w:rPr>
        <w:t xml:space="preserve">Teacher Signature:</w:t>
      </w:r>
    </w:p>
    <w:p>
      <w:pPr>
        <w:pStyle w:val="BodyText"/>
      </w:pPr>
      <w:r>
        <w:t xml:space="preserve">__________________________</w:t>
      </w:r>
    </w:p>
    <w:p>
      <w:pPr>
        <w:pStyle w:val="BodyText"/>
      </w:pPr>
      <w:r>
        <w:rPr>
          <w:bCs/>
          <w:b/>
        </w:rPr>
        <w:t xml:space="preserve">Name:</w:t>
      </w:r>
      <w:r>
        <w:t xml:space="preserve"> </w:t>
      </w:r>
      <w:r>
        <w:t xml:space="preserve">[Teacher Name]</w:t>
      </w:r>
    </w:p>
    <w:p>
      <w:pPr>
        <w:pStyle w:val="BodyText"/>
      </w:pPr>
      <w:r>
        <w:rPr>
          <w:bCs/>
          <w:b/>
        </w:rPr>
        <w:t xml:space="preserve">Designation:</w:t>
      </w:r>
      <w:r>
        <w:t xml:space="preserve"> </w:t>
      </w:r>
      <w:r>
        <w:t xml:space="preserve">Teacher Secondary</w:t>
      </w:r>
    </w:p>
    <w:p>
      <w:pPr>
        <w:pStyle w:val="BodyText"/>
      </w:pPr>
      <w:r>
        <w:t xml:space="preserve">Confidential Document - For Internal Use Only | Prepared in accordance with school policies and educational standards of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Mumbai, India</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