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New</w:t>
      </w:r>
      <w:r>
        <w:t xml:space="preserve"> </w:t>
      </w:r>
      <w:r>
        <w:t xml:space="preserve">Delhi,</w:t>
      </w:r>
      <w:r>
        <w:t xml:space="preserve"> </w:t>
      </w:r>
      <w:r>
        <w:t xml:space="preserve">India</w:t>
      </w:r>
    </w:p>
    <w:bookmarkStart w:id="20" w:name="peer-review-report"/>
    <w:p>
      <w:pPr>
        <w:pStyle w:val="Heading1"/>
      </w:pPr>
      <w:r>
        <w:t xml:space="preserve">Peer Review Report</w:t>
      </w:r>
    </w:p>
    <w:p>
      <w:pPr>
        <w:pStyle w:val="FirstParagraph"/>
      </w:pPr>
      <w:r>
        <w:t xml:space="preserve">Professional Evaluation of Teaching Practice</w:t>
      </w:r>
    </w:p>
    <w:p>
      <w:pPr>
        <w:pStyle w:val="BodyText"/>
      </w:pPr>
      <w:r>
        <w:t xml:space="preserve">Location:</w:t>
      </w:r>
      <w:r>
        <w:t xml:space="preserve"> </w:t>
      </w:r>
      <w:r>
        <w:t xml:space="preserve">New Delhi, India</w:t>
      </w:r>
    </w:p>
    <w:p>
      <w:pPr>
        <w:pStyle w:val="BodyText"/>
      </w:pPr>
      <w:r>
        <w:t xml:space="preserve">Educational Level:</w:t>
      </w:r>
      <w:r>
        <w:t xml:space="preserve"> </w:t>
      </w:r>
      <w:r>
        <w:t xml:space="preserve">Secondary Education (Grades 9-12)</w:t>
      </w:r>
    </w:p>
    <w:p>
      <w:pPr>
        <w:pStyle w:val="BodyText"/>
      </w:pPr>
      <w:r>
        <w:t xml:space="preserve">Date of Observation:</w:t>
      </w:r>
      <w:r>
        <w:t xml:space="preserve"> </w:t>
      </w:r>
      <w:r>
        <w:t xml:space="preserve">October 24, 2023</w:t>
      </w:r>
    </w:p>
    <w:p>
      <w:pPr>
        <w:pStyle w:val="BodyText"/>
      </w:pPr>
      <w:r>
        <w:t xml:space="preserve">Teacher Name:</w:t>
      </w:r>
      <w:r>
        <w:t xml:space="preserve"> </w:t>
      </w:r>
      <w:r>
        <w:t xml:space="preserve">Mr. Arjun Mehta</w:t>
      </w:r>
    </w:p>
    <w:p>
      <w:pPr>
        <w:pStyle w:val="BodyText"/>
      </w:pPr>
      <w:r>
        <w:t xml:space="preserve">Subject:</w:t>
      </w:r>
      <w:r>
        <w:t xml:space="preserve"> </w:t>
      </w:r>
      <w:r>
        <w:t xml:space="preserve">Mathematics</w:t>
      </w:r>
    </w:p>
    <w:p>
      <w:pPr>
        <w:pStyle w:val="BodyText"/>
      </w:pPr>
      <w:r>
        <w:t xml:space="preserve">Reviewer Name:</w:t>
      </w:r>
      <w:r>
        <w:t xml:space="preserve"> </w:t>
      </w:r>
      <w:r>
        <w:t xml:space="preserve">Ms. Priya Sharma (Senior Faculty)</w:t>
      </w:r>
    </w:p>
    <w:bookmarkEnd w:id="20"/>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has been prepared in accordance with the professional development standards established for secondary education institutions within the National Capital Region of India. The primary objective of this review is to evaluate the pedagogical effectiveness, classroom management, and curriculum alignment of the</w:t>
      </w:r>
      <w:r>
        <w:t xml:space="preserve"> </w:t>
      </w:r>
      <w:r>
        <w:rPr>
          <w:bCs/>
          <w:b/>
        </w:rPr>
        <w:t xml:space="preserve">Teacher Secondary</w:t>
      </w:r>
      <w:r>
        <w:t xml:space="preserve"> </w:t>
      </w:r>
      <w:r>
        <w:t xml:space="preserve">assigned to the Grade 10 Mathematics cohort.</w:t>
      </w:r>
    </w:p>
    <w:p>
      <w:pPr>
        <w:pStyle w:val="BodyText"/>
      </w:pPr>
      <w:r>
        <w:t xml:space="preserve">The educational landscape in</w:t>
      </w:r>
      <w:r>
        <w:t xml:space="preserve"> </w:t>
      </w:r>
      <w:r>
        <w:rPr>
          <w:bCs/>
          <w:b/>
        </w:rPr>
        <w:t xml:space="preserve">India New Delhi</w:t>
      </w:r>
      <w:r>
        <w:t xml:space="preserve"> </w:t>
      </w:r>
      <w:r>
        <w:t xml:space="preserve">is characterized by a rigorous academic environment, heavily influenced by the Central Board of Secondary Education (CBSE) curriculum and the evolving National Education Policy (NEP) 2020. Consequently, this review assesses how well the teacher integrates traditional academic rigor with modern, student-centric learning methodologies required in contemporary Delhi schools. The observation took place during a standard 45-minute instructional period focusing on quadratic equations.</w:t>
      </w:r>
    </w:p>
    <w:bookmarkEnd w:id="21"/>
    <w:bookmarkStart w:id="22" w:name="rating-scale"/>
    <w:p>
      <w:pPr>
        <w:pStyle w:val="Heading2"/>
      </w:pPr>
      <w:r>
        <w:t xml:space="preserve">2. Rating Scale</w:t>
      </w:r>
    </w:p>
    <w:p>
      <w:pPr>
        <w:pStyle w:val="FirstParagraph"/>
      </w:pPr>
      <w:r>
        <w:rPr>
          <w:bCs/>
          <w:b/>
        </w:rPr>
        <w:t xml:space="preserve">Evaluation Criteria:</w:t>
      </w:r>
      <w:r>
        <w:br/>
      </w:r>
      <w:r>
        <w:rPr>
          <w:bCs/>
          <w:b/>
        </w:rPr>
        <w:t xml:space="preserve">5 - Exemplary:</w:t>
      </w:r>
      <w:r>
        <w:t xml:space="preserve"> </w:t>
      </w:r>
      <w:r>
        <w:t xml:space="preserve">Exceeds expectations; demonstrates mastery and innovation.</w:t>
      </w:r>
      <w:r>
        <w:br/>
      </w:r>
      <w:r>
        <w:rPr>
          <w:bCs/>
          <w:b/>
        </w:rPr>
        <w:t xml:space="preserve">4 - Proficient:</w:t>
      </w:r>
      <w:r>
        <w:t xml:space="preserve"> </w:t>
      </w:r>
      <w:r>
        <w:t xml:space="preserve">Meets all expectations; consistent and effective practice.</w:t>
      </w:r>
      <w:r>
        <w:br/>
      </w:r>
      <w:r>
        <w:rPr>
          <w:bCs/>
          <w:b/>
        </w:rPr>
        <w:t xml:space="preserve">3 - Developing:</w:t>
      </w:r>
      <w:r>
        <w:t xml:space="preserve"> </w:t>
      </w:r>
      <w:r>
        <w:t xml:space="preserve">Approaching expectations; requires minor adjustments.</w:t>
      </w:r>
      <w:r>
        <w:br/>
      </w:r>
      <w:r>
        <w:rPr>
          <w:bCs/>
          <w:b/>
        </w:rPr>
        <w:t xml:space="preserve">2 - Needs Improvement:</w:t>
      </w:r>
      <w:r>
        <w:t xml:space="preserve"> </w:t>
      </w:r>
      <w:r>
        <w:t xml:space="preserve">Below expectations; significant gaps identified.</w:t>
      </w:r>
      <w:r>
        <w:br/>
      </w:r>
      <w:r>
        <w:rPr>
          <w:bCs/>
          <w:b/>
        </w:rPr>
        <w:t xml:space="preserve">1 - Unsatisfactory:</w:t>
      </w:r>
      <w:r>
        <w:t xml:space="preserve"> </w:t>
      </w:r>
      <w:r>
        <w:t xml:space="preserve">Fails to meet basic professional standards.</w:t>
      </w:r>
    </w:p>
    <w:bookmarkEnd w:id="22"/>
    <w:bookmarkStart w:id="26" w:name="detailed-observations"/>
    <w:p>
      <w:pPr>
        <w:pStyle w:val="Heading2"/>
      </w:pPr>
      <w:r>
        <w:t xml:space="preserve">3. Detailed Observations</w:t>
      </w:r>
    </w:p>
    <w:bookmarkStart w:id="23" w:name="lesson-planning-and-content-knowledge"/>
    <w:p>
      <w:pPr>
        <w:pStyle w:val="Heading3"/>
      </w:pPr>
      <w:r>
        <w:t xml:space="preserve">3.1 Lesson Planning and Content Knowledge</w:t>
      </w:r>
    </w:p>
    <w:p>
      <w:pPr>
        <w:pStyle w:val="FirstParagraph"/>
      </w:pPr>
      <w:r>
        <w:t xml:space="preserve">The</w:t>
      </w:r>
      <w:r>
        <w:t xml:space="preserve"> </w:t>
      </w:r>
      <w:r>
        <w:rPr>
          <w:bCs/>
          <w:b/>
        </w:rPr>
        <w:t xml:space="preserve">Teacher Secondary</w:t>
      </w:r>
      <w:r>
        <w:t xml:space="preserve"> </w:t>
      </w:r>
      <w:r>
        <w:t xml:space="preserve">demonstrated a profound command of the subject matter. The lesson plan was meticulously structured, aligning perfectly with the CBSE syllabus for Grade 10. The objectives were clearly stated at the beginning of the session, ensuring that students understood the learning outcomes.</w:t>
      </w:r>
    </w:p>
    <w:p>
      <w:pPr>
        <w:pStyle w:val="BodyText"/>
      </w:pPr>
      <w:r>
        <w:t xml:space="preserve">In the context of</w:t>
      </w:r>
      <w:r>
        <w:t xml:space="preserve"> </w:t>
      </w:r>
      <w:r>
        <w:rPr>
          <w:bCs/>
          <w:b/>
        </w:rPr>
        <w:t xml:space="preserve">India New Delhi</w:t>
      </w:r>
      <w:r>
        <w:t xml:space="preserve">, where competitive examinations are a significant focus, the teacher successfully balanced conceptual understanding with problem-solving techniques. The use of real-world examples relevant to the local context, such as calculating trajectories or financial growth, helped bridge the gap between abstract mathematics and practical application.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Rating</w:t>
            </w:r>
          </w:p>
        </w:tc>
        <w:tc>
          <w:tcPr/>
          <w:p>
            <w:pPr>
              <w:pStyle w:val="Compact"/>
              <w:jc w:val="left"/>
            </w:pPr>
            <w:r>
              <w:t xml:space="preserve">Comments</w:t>
            </w:r>
          </w:p>
        </w:tc>
      </w:tr>
      <w:tr>
        <w:tc>
          <w:tcPr/>
          <w:p>
            <w:pPr>
              <w:pStyle w:val="Compact"/>
              <w:jc w:val="left"/>
            </w:pPr>
            <w:r>
              <w:t xml:space="preserve">Clarity of Objectives</w:t>
            </w:r>
          </w:p>
        </w:tc>
        <w:tc>
          <w:tcPr/>
          <w:p>
            <w:pPr>
              <w:pStyle w:val="Compact"/>
              <w:jc w:val="left"/>
            </w:pPr>
            <w:r>
              <w:t xml:space="preserve">5</w:t>
            </w:r>
          </w:p>
        </w:tc>
        <w:tc>
          <w:tcPr/>
          <w:p>
            <w:pPr>
              <w:pStyle w:val="Compact"/>
              <w:jc w:val="left"/>
            </w:pPr>
            <w:r>
              <w:t xml:space="preserve">Objectives were specific, measurable, and communicated effectively.</w:t>
            </w:r>
          </w:p>
        </w:tc>
      </w:tr>
      <w:tr>
        <w:tc>
          <w:tcPr/>
          <w:p>
            <w:pPr>
              <w:pStyle w:val="Compact"/>
              <w:jc w:val="left"/>
            </w:pPr>
            <w:r>
              <w:t xml:space="preserve">Content Accuracy</w:t>
            </w:r>
          </w:p>
        </w:tc>
        <w:tc>
          <w:tcPr/>
          <w:p>
            <w:pPr>
              <w:pStyle w:val="Compact"/>
              <w:jc w:val="left"/>
            </w:pPr>
            <w:r>
              <w:t xml:space="preserve">5</w:t>
            </w:r>
          </w:p>
        </w:tc>
        <w:tc>
          <w:tcPr/>
          <w:p>
            <w:pPr>
              <w:pStyle w:val="Compact"/>
              <w:jc w:val="left"/>
            </w:pPr>
            <w:r>
              <w:t xml:space="preserve">No errors detected; deep subject knowledge evident.</w:t>
            </w:r>
          </w:p>
        </w:tc>
      </w:tr>
      <w:tr>
        <w:tc>
          <w:tcPr/>
          <w:p>
            <w:pPr>
              <w:pStyle w:val="Compact"/>
              <w:jc w:val="left"/>
            </w:pPr>
            <w:r>
              <w:t xml:space="preserve">Curriculum Alignment</w:t>
            </w:r>
          </w:p>
        </w:tc>
        <w:tc>
          <w:tcPr/>
          <w:p>
            <w:pPr>
              <w:pStyle w:val="Compact"/>
              <w:jc w:val="left"/>
            </w:pPr>
            <w:r>
              <w:t xml:space="preserve">4</w:t>
            </w:r>
          </w:p>
        </w:tc>
        <w:tc>
          <w:tcPr/>
          <w:p>
            <w:pPr>
              <w:pStyle w:val="Compact"/>
              <w:jc w:val="left"/>
            </w:pPr>
            <w:r>
              <w:t xml:space="preserve">Strong alignment with CBSE standards; could integrate more interdisciplinary links.</w:t>
            </w:r>
          </w:p>
        </w:tc>
      </w:tr>
    </w:tbl>
    <w:bookmarkEnd w:id="23"/>
    <w:bookmarkStart w:id="24" w:name="Xd2b21e284c478e8da8f8b6aa41a27cd01573145"/>
    <w:p>
      <w:pPr>
        <w:pStyle w:val="Heading3"/>
      </w:pPr>
      <w:r>
        <w:t xml:space="preserve">3.2 Instructional Strategies and Student Engagement</w:t>
      </w:r>
    </w:p>
    <w:p>
      <w:pPr>
        <w:pStyle w:val="FirstParagraph"/>
      </w:pPr>
      <w:r>
        <w:t xml:space="preserve">A critical aspect of this</w:t>
      </w:r>
      <w:r>
        <w:t xml:space="preserve"> </w:t>
      </w:r>
      <w:r>
        <w:rPr>
          <w:bCs/>
          <w:b/>
        </w:rPr>
        <w:t xml:space="preserve">Peer Review Report</w:t>
      </w:r>
      <w:r>
        <w:t xml:space="preserve"> </w:t>
      </w:r>
      <w:r>
        <w:t xml:space="preserve">is the evaluation of how the teacher engages a diverse classroom. The</w:t>
      </w:r>
      <w:r>
        <w:t xml:space="preserve"> </w:t>
      </w:r>
      <w:r>
        <w:rPr>
          <w:bCs/>
          <w:b/>
        </w:rPr>
        <w:t xml:space="preserve">Teacher Secondary</w:t>
      </w:r>
      <w:r>
        <w:t xml:space="preserve"> </w:t>
      </w:r>
      <w:r>
        <w:t xml:space="preserve">employed a mix of direct instruction and collaborative learning. The use of "Think-Pair-Share" strategies was particularly effective in encouraging quieter students to participate.</w:t>
      </w:r>
    </w:p>
    <w:p>
      <w:pPr>
        <w:pStyle w:val="BodyText"/>
      </w:pPr>
      <w:r>
        <w:t xml:space="preserve">However, the integration of technology could be enhanced. While the teacher utilized a whiteboard effectively, the adoption of digital tools (such as GeoGebra or interactive quizzes) is becoming increasingly standard in top-tier schools in</w:t>
      </w:r>
      <w:r>
        <w:t xml:space="preserve"> </w:t>
      </w:r>
      <w:r>
        <w:rPr>
          <w:bCs/>
          <w:b/>
        </w:rPr>
        <w:t xml:space="preserve">India New Delhi</w:t>
      </w:r>
      <w:r>
        <w:t xml:space="preserve">. Incorporating these tools would align better with the NEP 2020's emphasis on digital literacy and interactive learning.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Rating</w:t>
            </w:r>
          </w:p>
        </w:tc>
        <w:tc>
          <w:tcPr/>
          <w:p>
            <w:pPr>
              <w:pStyle w:val="Compact"/>
              <w:jc w:val="left"/>
            </w:pPr>
            <w:r>
              <w:t xml:space="preserve">Comments</w:t>
            </w:r>
          </w:p>
        </w:tc>
      </w:tr>
      <w:tr>
        <w:tc>
          <w:tcPr/>
          <w:p>
            <w:pPr>
              <w:pStyle w:val="Compact"/>
              <w:jc w:val="left"/>
            </w:pPr>
            <w:r>
              <w:t xml:space="preserve">Student Engagement</w:t>
            </w:r>
          </w:p>
        </w:tc>
        <w:tc>
          <w:tcPr/>
          <w:p>
            <w:pPr>
              <w:pStyle w:val="Compact"/>
              <w:jc w:val="left"/>
            </w:pPr>
            <w:r>
              <w:t xml:space="preserve">4</w:t>
            </w:r>
          </w:p>
        </w:tc>
        <w:tc>
          <w:tcPr/>
          <w:p>
            <w:pPr>
              <w:pStyle w:val="Compact"/>
              <w:jc w:val="left"/>
            </w:pPr>
            <w:r>
              <w:t xml:space="preserve">High level of participation; varied questioning techniques used.</w:t>
            </w:r>
          </w:p>
        </w:tc>
      </w:tr>
      <w:tr>
        <w:tc>
          <w:tcPr/>
          <w:p>
            <w:pPr>
              <w:pStyle w:val="Compact"/>
              <w:jc w:val="left"/>
            </w:pPr>
            <w:r>
              <w:t xml:space="preserve">Use of Technology</w:t>
            </w:r>
          </w:p>
        </w:tc>
        <w:tc>
          <w:tcPr/>
          <w:p>
            <w:pPr>
              <w:pStyle w:val="Compact"/>
              <w:jc w:val="left"/>
            </w:pPr>
            <w:r>
              <w:t xml:space="preserve">3</w:t>
            </w:r>
          </w:p>
        </w:tc>
        <w:tc>
          <w:tcPr/>
          <w:p>
            <w:pPr>
              <w:pStyle w:val="Compact"/>
              <w:jc w:val="left"/>
            </w:pPr>
            <w:r>
              <w:t xml:space="preserve">Reliant on traditional methods; opportunity to integrate EdTech tools.</w:t>
            </w:r>
          </w:p>
        </w:tc>
      </w:tr>
      <w:tr>
        <w:tc>
          <w:tcPr/>
          <w:p>
            <w:pPr>
              <w:pStyle w:val="Compact"/>
              <w:jc w:val="left"/>
            </w:pPr>
            <w:r>
              <w:t xml:space="preserve">Differentiation</w:t>
            </w:r>
          </w:p>
        </w:tc>
        <w:tc>
          <w:tcPr/>
          <w:p>
            <w:pPr>
              <w:pStyle w:val="Compact"/>
              <w:jc w:val="left"/>
            </w:pPr>
            <w:r>
              <w:t xml:space="preserve">4</w:t>
            </w:r>
          </w:p>
        </w:tc>
        <w:tc>
          <w:tcPr/>
          <w:p>
            <w:pPr>
              <w:pStyle w:val="Compact"/>
              <w:jc w:val="left"/>
            </w:pPr>
            <w:r>
              <w:t xml:space="preserve">Provided extension problems for advanced learners; supported struggling students.</w:t>
            </w:r>
          </w:p>
        </w:tc>
      </w:tr>
    </w:tbl>
    <w:bookmarkEnd w:id="24"/>
    <w:bookmarkStart w:id="25" w:name="classroom-management-and-environment"/>
    <w:p>
      <w:pPr>
        <w:pStyle w:val="Heading3"/>
      </w:pPr>
      <w:r>
        <w:t xml:space="preserve">3.3 Classroom Management and Environment</w:t>
      </w:r>
    </w:p>
    <w:p>
      <w:pPr>
        <w:pStyle w:val="FirstParagraph"/>
      </w:pPr>
      <w:r>
        <w:t xml:space="preserve">The classroom environment was conducive to learning. The</w:t>
      </w:r>
      <w:r>
        <w:t xml:space="preserve"> </w:t>
      </w:r>
      <w:r>
        <w:rPr>
          <w:bCs/>
          <w:b/>
        </w:rPr>
        <w:t xml:space="preserve">Teacher Secondary</w:t>
      </w:r>
      <w:r>
        <w:t xml:space="preserve"> </w:t>
      </w:r>
      <w:r>
        <w:t xml:space="preserve">maintained a respectful and disciplined atmosphere without being authoritarian. Transitions between activities were smooth, minimizing downtime.</w:t>
      </w:r>
    </w:p>
    <w:p>
      <w:pPr>
        <w:pStyle w:val="BodyText"/>
      </w:pPr>
      <w:r>
        <w:t xml:space="preserve">Given the cultural context of</w:t>
      </w:r>
      <w:r>
        <w:t xml:space="preserve"> </w:t>
      </w:r>
      <w:r>
        <w:rPr>
          <w:bCs/>
          <w:b/>
        </w:rPr>
        <w:t xml:space="preserve">India New Delhi</w:t>
      </w:r>
      <w:r>
        <w:t xml:space="preserve">, the teacher successfully navigated the balance between maintaining authority and fostering a supportive relationship with students. The classroom rules were clear, and students demonstrated a high level of respect for the teacher and their peers.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Rating</w:t>
            </w:r>
          </w:p>
        </w:tc>
        <w:tc>
          <w:tcPr/>
          <w:p>
            <w:pPr>
              <w:pStyle w:val="Compact"/>
              <w:jc w:val="left"/>
            </w:pPr>
            <w:r>
              <w:t xml:space="preserve">Comments</w:t>
            </w:r>
          </w:p>
        </w:tc>
      </w:tr>
      <w:tr>
        <w:tc>
          <w:tcPr/>
          <w:p>
            <w:pPr>
              <w:pStyle w:val="Compact"/>
              <w:jc w:val="left"/>
            </w:pPr>
            <w:r>
              <w:t xml:space="preserve">Classroom Discipline</w:t>
            </w:r>
          </w:p>
        </w:tc>
        <w:tc>
          <w:tcPr/>
          <w:p>
            <w:pPr>
              <w:pStyle w:val="Compact"/>
              <w:jc w:val="left"/>
            </w:pPr>
            <w:r>
              <w:t xml:space="preserve">5</w:t>
            </w:r>
          </w:p>
        </w:tc>
        <w:tc>
          <w:tcPr/>
          <w:p>
            <w:pPr>
              <w:pStyle w:val="Compact"/>
              <w:jc w:val="left"/>
            </w:pPr>
            <w:r>
              <w:t xml:space="preserve">Excellent control; positive reinforcement used effectively.</w:t>
            </w:r>
          </w:p>
        </w:tc>
      </w:tr>
      <w:tr>
        <w:tc>
          <w:tcPr/>
          <w:p>
            <w:pPr>
              <w:pStyle w:val="Compact"/>
              <w:jc w:val="left"/>
            </w:pPr>
            <w:r>
              <w:t xml:space="preserve">Time Management</w:t>
            </w:r>
          </w:p>
        </w:tc>
        <w:tc>
          <w:tcPr/>
          <w:p>
            <w:pPr>
              <w:pStyle w:val="Compact"/>
              <w:jc w:val="left"/>
            </w:pPr>
            <w:r>
              <w:t xml:space="preserve">4</w:t>
            </w:r>
          </w:p>
        </w:tc>
        <w:tc>
          <w:tcPr/>
          <w:p>
            <w:pPr>
              <w:pStyle w:val="Compact"/>
              <w:jc w:val="left"/>
            </w:pPr>
            <w:r>
              <w:t xml:space="preserve">Lesson flowed well; concluded slightly early, allowing for Q&amp;A.</w:t>
            </w:r>
          </w:p>
        </w:tc>
      </w:tr>
    </w:tbl>
    <w:bookmarkEnd w:id="25"/>
    <w:bookmarkEnd w:id="26"/>
    <w:bookmarkStart w:id="29" w:name="strengths-and-areas-for-improvement"/>
    <w:p>
      <w:pPr>
        <w:pStyle w:val="Heading2"/>
      </w:pPr>
      <w:r>
        <w:t xml:space="preserve">4. Strengths and Areas for Improvement</w:t>
      </w:r>
    </w:p>
    <w:bookmarkStart w:id="27" w:name="key-strengths"/>
    <w:p>
      <w:pPr>
        <w:pStyle w:val="Heading3"/>
      </w:pPr>
      <w:r>
        <w:t xml:space="preserve">Key Strengths</w:t>
      </w:r>
    </w:p>
    <w:p>
      <w:pPr>
        <w:numPr>
          <w:ilvl w:val="0"/>
          <w:numId w:val="1001"/>
        </w:numPr>
        <w:pStyle w:val="Compact"/>
      </w:pPr>
      <w:r>
        <w:rPr>
          <w:bCs/>
          <w:b/>
        </w:rPr>
        <w:t xml:space="preserve">Subject Mastery:</w:t>
      </w:r>
      <w:r>
        <w:t xml:space="preserve"> </w:t>
      </w:r>
      <w:r>
        <w:t xml:space="preserve">The teacher exhibits exceptional knowledge of Mathematics, allowing for spontaneous and insightful explanations.</w:t>
      </w:r>
    </w:p>
    <w:p>
      <w:pPr>
        <w:numPr>
          <w:ilvl w:val="0"/>
          <w:numId w:val="1001"/>
        </w:numPr>
        <w:pStyle w:val="Compact"/>
      </w:pPr>
      <w:r>
        <w:rPr>
          <w:bCs/>
          <w:b/>
        </w:rPr>
        <w:t xml:space="preserve">Clarity:</w:t>
      </w:r>
      <w:r>
        <w:t xml:space="preserve"> </w:t>
      </w:r>
      <w:r>
        <w:t xml:space="preserve">Instructions are concise and easy to follow, reducing student confusion.</w:t>
      </w:r>
    </w:p>
    <w:p>
      <w:pPr>
        <w:numPr>
          <w:ilvl w:val="0"/>
          <w:numId w:val="1001"/>
        </w:numPr>
        <w:pStyle w:val="Compact"/>
      </w:pPr>
      <w:r>
        <w:rPr>
          <w:bCs/>
          <w:b/>
        </w:rPr>
        <w:t xml:space="preserve">Empathy:</w:t>
      </w:r>
      <w:r>
        <w:t xml:space="preserve"> </w:t>
      </w:r>
      <w:r>
        <w:t xml:space="preserve">The teacher shows genuine concern for student well-being, creating a safe learning environment.</w:t>
      </w:r>
    </w:p>
    <w:bookmarkEnd w:id="27"/>
    <w:bookmarkStart w:id="28" w:name="areas-for-improvement"/>
    <w:p>
      <w:pPr>
        <w:pStyle w:val="Heading3"/>
      </w:pPr>
      <w:r>
        <w:t xml:space="preserve">Areas for Improvement</w:t>
      </w:r>
    </w:p>
    <w:p>
      <w:pPr>
        <w:numPr>
          <w:ilvl w:val="0"/>
          <w:numId w:val="1002"/>
        </w:numPr>
        <w:pStyle w:val="Compact"/>
      </w:pPr>
      <w:r>
        <w:rPr>
          <w:bCs/>
          <w:b/>
        </w:rPr>
        <w:t xml:space="preserve">Technology Integration:</w:t>
      </w:r>
      <w:r>
        <w:t xml:space="preserve"> </w:t>
      </w:r>
      <w:r>
        <w:t xml:space="preserve">As noted, the teacher should explore digital platforms to enhance visual learning and student interaction, a trend rapidly growing in</w:t>
      </w:r>
      <w:r>
        <w:t xml:space="preserve"> </w:t>
      </w:r>
      <w:r>
        <w:rPr>
          <w:bCs/>
          <w:b/>
        </w:rPr>
        <w:t xml:space="preserve">India New Delhi</w:t>
      </w:r>
      <w:r>
        <w:t xml:space="preserve"> </w:t>
      </w:r>
      <w:r>
        <w:t xml:space="preserve">schools.</w:t>
      </w:r>
    </w:p>
    <w:p>
      <w:pPr>
        <w:numPr>
          <w:ilvl w:val="0"/>
          <w:numId w:val="1002"/>
        </w:numPr>
        <w:pStyle w:val="Compact"/>
      </w:pPr>
      <w:r>
        <w:rPr>
          <w:bCs/>
          <w:b/>
        </w:rPr>
        <w:t xml:space="preserve">Assessment for Learning:</w:t>
      </w:r>
      <w:r>
        <w:t xml:space="preserve"> </w:t>
      </w:r>
      <w:r>
        <w:t xml:space="preserve">While summative assessment is strong, more formative assessment techniques (e.g., exit tickets, real-time polling) should be used to gauge understanding continuously.</w:t>
      </w:r>
    </w:p>
    <w:p>
      <w:pPr>
        <w:numPr>
          <w:ilvl w:val="0"/>
          <w:numId w:val="1002"/>
        </w:numPr>
        <w:pStyle w:val="Compact"/>
      </w:pPr>
      <w:r>
        <w:rPr>
          <w:bCs/>
          <w:b/>
        </w:rPr>
        <w:t xml:space="preserve">Critical Thinking:</w:t>
      </w:r>
      <w:r>
        <w:t xml:space="preserve"> </w:t>
      </w:r>
      <w:r>
        <w:t xml:space="preserve">Encourage more open-ended questions that require higher-order thinking skills, moving beyond rote memorization of formulas.</w:t>
      </w:r>
    </w:p>
    <w:bookmarkEnd w:id="28"/>
    <w:bookmarkEnd w:id="29"/>
    <w:bookmarkStart w:id="30" w:name="recommendations-and-action-plan"/>
    <w:p>
      <w:pPr>
        <w:pStyle w:val="Heading2"/>
      </w:pPr>
      <w:r>
        <w:t xml:space="preserve">5. Recommendations and Action Plan</w:t>
      </w:r>
    </w:p>
    <w:p>
      <w:pPr>
        <w:pStyle w:val="FirstParagraph"/>
      </w:pPr>
      <w:r>
        <w:t xml:space="preserve">Based on this</w:t>
      </w:r>
      <w:r>
        <w:t xml:space="preserve"> </w:t>
      </w:r>
      <w:r>
        <w:rPr>
          <w:bCs/>
          <w:b/>
        </w:rPr>
        <w:t xml:space="preserve">Peer Review Report</w:t>
      </w:r>
      <w:r>
        <w:t xml:space="preserve">, the following actionable steps are recommended for the</w:t>
      </w:r>
      <w:r>
        <w:t xml:space="preserve"> </w:t>
      </w:r>
      <w:r>
        <w:rPr>
          <w:bCs/>
          <w:b/>
        </w:rPr>
        <w:t xml:space="preserve">Teacher Secondary</w:t>
      </w:r>
      <w:r>
        <w:t xml:space="preserve"> </w:t>
      </w:r>
      <w:r>
        <w:t xml:space="preserve">to further enhance their professional practice:</w:t>
      </w:r>
    </w:p>
    <w:p>
      <w:pPr>
        <w:numPr>
          <w:ilvl w:val="0"/>
          <w:numId w:val="1003"/>
        </w:numPr>
        <w:pStyle w:val="Compact"/>
      </w:pPr>
      <w:r>
        <w:rPr>
          <w:bCs/>
          <w:b/>
        </w:rPr>
        <w:t xml:space="preserve">Professional Development:</w:t>
      </w:r>
      <w:r>
        <w:t xml:space="preserve"> </w:t>
      </w:r>
      <w:r>
        <w:t xml:space="preserve">Attend a workshop on integrating EdTech tools in Mathematics instruction, available through local educational bodies in New Delhi.</w:t>
      </w:r>
    </w:p>
    <w:p>
      <w:pPr>
        <w:numPr>
          <w:ilvl w:val="0"/>
          <w:numId w:val="1003"/>
        </w:numPr>
        <w:pStyle w:val="Compact"/>
      </w:pPr>
      <w:r>
        <w:rPr>
          <w:bCs/>
          <w:b/>
        </w:rPr>
        <w:t xml:space="preserve">Peer Collaboration:</w:t>
      </w:r>
      <w:r>
        <w:t xml:space="preserve"> </w:t>
      </w:r>
      <w:r>
        <w:t xml:space="preserve">Engage in lesson study groups with colleagues to share best practices and observe innovative teaching strategies.</w:t>
      </w:r>
    </w:p>
    <w:p>
      <w:pPr>
        <w:numPr>
          <w:ilvl w:val="0"/>
          <w:numId w:val="1003"/>
        </w:numPr>
        <w:pStyle w:val="Compact"/>
      </w:pPr>
      <w:r>
        <w:rPr>
          <w:bCs/>
          <w:b/>
        </w:rPr>
        <w:t xml:space="preserve">Reflective Practice:</w:t>
      </w:r>
      <w:r>
        <w:t xml:space="preserve"> </w:t>
      </w:r>
      <w:r>
        <w:t xml:space="preserve">Maintain a teaching journal to reflect on daily lessons, focusing on student engagement and the effectiveness of different instructional strategies.</w:t>
      </w:r>
    </w:p>
    <w:p>
      <w:pPr>
        <w:numPr>
          <w:ilvl w:val="0"/>
          <w:numId w:val="1003"/>
        </w:numPr>
        <w:pStyle w:val="Compact"/>
      </w:pPr>
      <w:r>
        <w:rPr>
          <w:bCs/>
          <w:b/>
        </w:rPr>
        <w:t xml:space="preserve">Student Feedback:</w:t>
      </w:r>
      <w:r>
        <w:t xml:space="preserve"> </w:t>
      </w:r>
      <w:r>
        <w:t xml:space="preserve">Implement anonymous student feedback surveys to gain insights into their learning experience and identify areas for improvement.</w:t>
      </w:r>
    </w:p>
    <w:bookmarkEnd w:id="30"/>
    <w:bookmarkStart w:id="31" w:name="conclusion"/>
    <w:p>
      <w:pPr>
        <w:pStyle w:val="Heading2"/>
      </w:pPr>
      <w:r>
        <w:t xml:space="preserve">6. Conclusion</w:t>
      </w:r>
    </w:p>
    <w:p>
      <w:pPr>
        <w:pStyle w:val="FirstParagraph"/>
      </w:pPr>
      <w:r>
        <w:t xml:space="preserve">Overall, the</w:t>
      </w:r>
      <w:r>
        <w:t xml:space="preserve"> </w:t>
      </w:r>
      <w:r>
        <w:rPr>
          <w:bCs/>
          <w:b/>
        </w:rPr>
        <w:t xml:space="preserve">Teacher Secondary</w:t>
      </w:r>
      <w:r>
        <w:t xml:space="preserve"> </w:t>
      </w:r>
      <w:r>
        <w:t xml:space="preserve">under review demonstrates a high level of professionalism and dedication to student success. The teaching practices observed are largely aligned with the high standards expected in secondary education institutions in</w:t>
      </w:r>
      <w:r>
        <w:t xml:space="preserve"> </w:t>
      </w:r>
      <w:r>
        <w:rPr>
          <w:bCs/>
          <w:b/>
        </w:rPr>
        <w:t xml:space="preserve">India New Delhi</w:t>
      </w:r>
      <w:r>
        <w:t xml:space="preserve">. With a focus on integrating technology and enhancing formative assessment strategies, the teacher has the potential to move from proficient to exemplary practice. This</w:t>
      </w:r>
      <w:r>
        <w:t xml:space="preserve"> </w:t>
      </w:r>
      <w:r>
        <w:rPr>
          <w:bCs/>
          <w:b/>
        </w:rPr>
        <w:t xml:space="preserve">Peer Review Report</w:t>
      </w:r>
      <w:r>
        <w:t xml:space="preserve"> </w:t>
      </w:r>
      <w:r>
        <w:t xml:space="preserve">serves as a constructive tool for ongoing professional growth and development.</w:t>
      </w:r>
    </w:p>
    <w:bookmarkEnd w:id="31"/>
    <w:p>
      <w:pPr>
        <w:pStyle w:val="BodyText"/>
      </w:pPr>
      <w:r>
        <w:rPr>
          <w:bCs/>
          <w:b/>
        </w:rPr>
        <w:t xml:space="preserve">Reviewer Signature:</w:t>
      </w:r>
    </w:p>
    <w:p>
      <w:pPr>
        <w:pStyle w:val="BodyText"/>
      </w:pPr>
      <w:r>
        <w:t xml:space="preserve">Priya Sharma</w:t>
      </w:r>
    </w:p>
    <w:p>
      <w:pPr>
        <w:pStyle w:val="BodyText"/>
      </w:pPr>
      <w:r>
        <w:rPr>
          <w:bCs/>
          <w:b/>
        </w:rPr>
        <w:t xml:space="preserve">Date:</w:t>
      </w:r>
      <w:r>
        <w:t xml:space="preserve"> </w:t>
      </w:r>
      <w:r>
        <w:t xml:space="preserve">October 25, 2023</w:t>
      </w:r>
    </w:p>
    <w:p>
      <w:pPr>
        <w:pStyle w:val="BodyText"/>
      </w:pPr>
      <w:r>
        <w:rPr>
          <w:bCs/>
          <w:b/>
        </w:rPr>
        <w:t xml:space="preserve">Teacher Acknowledgment:</w:t>
      </w:r>
    </w:p>
    <w:p>
      <w:pPr>
        <w:pStyle w:val="BodyText"/>
      </w:pPr>
      <w:r>
        <w:t xml:space="preserve">Arjun Mehta</w:t>
      </w:r>
    </w:p>
    <w:p>
      <w:pPr>
        <w:pStyle w:val="BodyText"/>
      </w:pPr>
      <w:r>
        <w:rPr>
          <w:bCs/>
          <w:b/>
        </w:rPr>
        <w:t xml:space="preserve">Date:</w:t>
      </w:r>
      <w:r>
        <w:t xml:space="preserve"> </w:t>
      </w:r>
      <w:r>
        <w:t xml:space="preserve">October 25, 2023</w:t>
      </w:r>
    </w:p>
    <w:p>
      <w:pPr>
        <w:pStyle w:val="BodyText"/>
      </w:pPr>
      <w:r>
        <w:t xml:space="preserve">Confidential Document - For Internal Use Only | Secondary Education Department | New Delhi,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Secondary - New Delhi, India</dc:title>
  <dc:creator/>
  <dc:language>en</dc:language>
  <cp:keywords/>
  <dcterms:created xsi:type="dcterms:W3CDTF">2026-10-10T07:37:05Z</dcterms:created>
  <dcterms:modified xsi:type="dcterms:W3CDTF">2026-10-10T07:37:05Z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