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Indonesia</w:t>
      </w:r>
      <w:r>
        <w:t xml:space="preserve"> </w:t>
      </w:r>
      <w:r>
        <w:t xml:space="preserve">Jakarta</w:t>
      </w:r>
    </w:p>
    <w:bookmarkStart w:id="20" w:name="peer-review-report-teacher-secondary"/>
    <w:p>
      <w:pPr>
        <w:pStyle w:val="Heading1"/>
      </w:pPr>
      <w:r>
        <w:t xml:space="preserve">Peer Review Report: Teacher Secondary</w:t>
      </w:r>
    </w:p>
    <w:p>
      <w:pPr>
        <w:pStyle w:val="FirstParagraph"/>
      </w:pPr>
      <w:r>
        <w:rPr>
          <w:bCs/>
          <w:b/>
        </w:rPr>
        <w:t xml:space="preserve">Location:</w:t>
      </w:r>
      <w:r>
        <w:t xml:space="preserve"> </w:t>
      </w:r>
      <w:r>
        <w:t xml:space="preserve">Indonesia Jakarta</w:t>
      </w:r>
    </w:p>
    <w:p>
      <w:pPr>
        <w:pStyle w:val="BodyText"/>
      </w:pPr>
      <w:r>
        <w:rPr>
          <w:bCs/>
          <w:b/>
        </w:rPr>
        <w:t xml:space="preserve">Date of Observation:</w:t>
      </w:r>
      <w:r>
        <w:t xml:space="preserve"> </w:t>
      </w:r>
      <w:r>
        <w:t xml:space="preserve">October 24, 2023</w:t>
      </w:r>
    </w:p>
    <w:p>
      <w:pPr>
        <w:pStyle w:val="BodyText"/>
      </w:pPr>
      <w:r>
        <w:rPr>
          <w:bCs/>
          <w:b/>
        </w:rPr>
        <w:t xml:space="preserve">Subject:</w:t>
      </w:r>
      <w:r>
        <w:t xml:space="preserve"> </w:t>
      </w:r>
      <w:r>
        <w:t xml:space="preserve">Mathematics</w:t>
      </w:r>
    </w:p>
    <w:p>
      <w:pPr>
        <w:pStyle w:val="BodyText"/>
      </w:pPr>
      <w:r>
        <w:rPr>
          <w:bCs/>
          <w:b/>
        </w:rPr>
        <w:t xml:space="preserve">Grade Level:</w:t>
      </w:r>
      <w:r>
        <w:t xml:space="preserve"> </w:t>
      </w:r>
      <w:r>
        <w:t xml:space="preserve">10 (SMA)</w:t>
      </w:r>
    </w:p>
    <w:bookmarkEnd w:id="20"/>
    <w:bookmarkStart w:id="21" w:name="introduction-and-context"/>
    <w:p>
      <w:pPr>
        <w:pStyle w:val="Heading2"/>
      </w:pPr>
      <w:r>
        <w:t xml:space="preserve">1. Introduction and Context</w:t>
      </w:r>
    </w:p>
    <w:p>
      <w:pPr>
        <w:pStyle w:val="FirstParagraph"/>
      </w:pPr>
      <w:r>
        <w:t xml:space="preserve">This document serves as a formal Peer Review Report regarding the instructional practices of a Teacher Secondary within a high school setting in Indonesia Jakarta. The purpose of this review is to evaluate pedagogical effectiveness, classroom management, and alignment with the national curriculum standards (Kurikulum Merdeka). The review focuses on fostering professional growth and ensuring that the educational environment in Jakarta meets the high expectations of modern secondary education.</w:t>
      </w:r>
    </w:p>
    <w:p>
      <w:pPr>
        <w:pStyle w:val="BodyText"/>
      </w:pPr>
      <w:r>
        <w:t xml:space="preserve">The observation took place during a standard 45-minute session. The classroom environment was typical of urban schools in Jakarta, utilizing both traditional blackboards and digital projectors. The primary goal was to assess how the Teacher Secondary facilitates student engagement and conceptual understanding in a diverse classroom setting.</w:t>
      </w:r>
    </w:p>
    <w:bookmarkEnd w:id="21"/>
    <w:bookmarkStart w:id="22" w:name="lesson-planning-and-preparation"/>
    <w:p>
      <w:pPr>
        <w:pStyle w:val="Heading2"/>
      </w:pPr>
      <w:r>
        <w:t xml:space="preserve">2. Lesson Planning and Preparation</w:t>
      </w:r>
    </w:p>
    <w:p>
      <w:pPr>
        <w:pStyle w:val="FirstParagraph"/>
      </w:pPr>
      <w:r>
        <w:t xml:space="preserve">The Teacher Secondary demonstrated a high level of preparation. The lesson plan was clearly structured, aligning with the specific learning objectives required by the Indonesian Ministry of Education. The materials used were relevant to the local context of Indonesia Jakarta, incorporating examples that resonated with the students' daily lives in the capital city.</w:t>
      </w:r>
    </w:p>
    <w:p>
      <w:pPr>
        <w:pStyle w:val="BodyText"/>
      </w:pPr>
      <w:r>
        <w:t xml:space="preserve">The integration of technology was notable. The teacher utilized digital slides to present complex mathematical concepts, which is a growing standard in Jakarta's secondary schools. However, there was a minor delay in the transition between slides, suggesting that technical familiarity could be further enhanced. Overall, the preparation indicated a strong commitment to delivering a structured and coherent lesson.</w:t>
      </w:r>
    </w:p>
    <w:bookmarkEnd w:id="22"/>
    <w:bookmarkStart w:id="23" w:name="instructional-delivery-and-pedagogy"/>
    <w:p>
      <w:pPr>
        <w:pStyle w:val="Heading2"/>
      </w:pPr>
      <w:r>
        <w:t xml:space="preserve">3. Instructional Delivery and Pedagogy</w:t>
      </w:r>
    </w:p>
    <w:p>
      <w:pPr>
        <w:pStyle w:val="FirstParagraph"/>
      </w:pPr>
      <w:r>
        <w:t xml:space="preserve">During the observation, the Teacher Secondary employed a mix of direct instruction and collaborative learning. The explanation of the core concept was clear, concise, and delivered in a manner appropriate for secondary-level students. The teacher effectively used questioning techniques to check for understanding, encouraging students to articulate their thought processes.</w:t>
      </w:r>
    </w:p>
    <w:p>
      <w:pPr>
        <w:pStyle w:val="BodyText"/>
      </w:pPr>
      <w:r>
        <w:t xml:space="preserve">A significant strength observed was the teacher's ability to manage the pace of the lesson. In a busy classroom in Indonesia Jakarta, maintaining focus is challenging. The Teacher Secondary successfully kept the students engaged by varying the instructional methods. Group activities were introduced midway through the lesson, allowing students to work together on problem-solving tasks. This approach aligns well with the collaborative spirit often emphasized in Indonesian educational culture.</w:t>
      </w:r>
    </w:p>
    <w:p>
      <w:pPr>
        <w:pStyle w:val="BodyText"/>
      </w:pPr>
      <w:r>
        <w:t xml:space="preserve">However, there was an opportunity to differentiate instruction more effectively. While the majority of the class followed the lesson well, a few students appeared to struggle with the advanced concepts. The Teacher Secondary could benefit from incorporating more scaffolded support for these learners to ensure equitable access to the curriculum.</w:t>
      </w:r>
    </w:p>
    <w:bookmarkEnd w:id="23"/>
    <w:bookmarkStart w:id="24" w:name="classroom-management-and-environment"/>
    <w:p>
      <w:pPr>
        <w:pStyle w:val="Heading2"/>
      </w:pPr>
      <w:r>
        <w:t xml:space="preserve">4. Classroom Management and Environment</w:t>
      </w:r>
    </w:p>
    <w:p>
      <w:pPr>
        <w:pStyle w:val="FirstParagraph"/>
      </w:pPr>
      <w:r>
        <w:t xml:space="preserve">Classroom management was generally effective. The Teacher Secondary established clear expectations for behavior and academic work at the beginning of the session. Students were respectful and attentive, reflecting a positive classroom culture. The teacher moved around the room frequently during group work, providing individual feedback and monitoring progress.</w:t>
      </w:r>
    </w:p>
    <w:p>
      <w:pPr>
        <w:pStyle w:val="BodyText"/>
      </w:pPr>
      <w:r>
        <w:t xml:space="preserve">The physical environment of the classroom in Indonesia Jakarta was conducive to learning. Desks were arranged to facilitate group interaction, and learning materials were accessible. The teacher maintained a professional demeanor, modeling the behavior expected of secondary students. There were no significant disruptions, and the teacher handled minor off-task behavior discreetly and effectively.</w:t>
      </w:r>
    </w:p>
    <w:bookmarkEnd w:id="24"/>
    <w:bookmarkStart w:id="25" w:name="assessment-and-feedback"/>
    <w:p>
      <w:pPr>
        <w:pStyle w:val="Heading2"/>
      </w:pPr>
      <w:r>
        <w:t xml:space="preserve">5. Assessment and Feedback</w:t>
      </w:r>
    </w:p>
    <w:p>
      <w:pPr>
        <w:pStyle w:val="FirstParagraph"/>
      </w:pPr>
      <w:r>
        <w:t xml:space="preserve">Formative assessment was integrated into the lesson through questioning and observation of group work. The Teacher Secondary provided immediate feedback to students, correcting misconceptions in real-time. This is a crucial aspect of effective teaching, as it helps students adjust their understanding before moving on to new material.</w:t>
      </w:r>
    </w:p>
    <w:p>
      <w:pPr>
        <w:pStyle w:val="BodyText"/>
      </w:pPr>
      <w:r>
        <w:t xml:space="preserve">The review noted that while verbal feedback was strong, written feedback on student work could be more detailed. Providing specific, actionable comments on assignments would help students understand their areas for improvement more clearly. This is particularly important in a competitive academic environment like Indonesia Jakarta, where students are often highly motivated to excel.</w:t>
      </w:r>
    </w:p>
    <w:bookmarkEnd w:id="25"/>
    <w:bookmarkStart w:id="26" w:name="Xda79409093af40bd3d15ed7d2a5582dbca223f1"/>
    <w:p>
      <w:pPr>
        <w:pStyle w:val="Heading2"/>
      </w:pPr>
      <w:r>
        <w:t xml:space="preserve">6. Areas for Improvement and Recommendations</w:t>
      </w:r>
    </w:p>
    <w:p>
      <w:pPr>
        <w:pStyle w:val="FirstParagraph"/>
      </w:pPr>
      <w:r>
        <w:t xml:space="preserve">Based on the observations, the following recommendations are made for the Teacher Secondary:</w:t>
      </w:r>
    </w:p>
    <w:p>
      <w:pPr>
        <w:numPr>
          <w:ilvl w:val="0"/>
          <w:numId w:val="1001"/>
        </w:numPr>
        <w:pStyle w:val="Compact"/>
      </w:pPr>
      <w:r>
        <w:rPr>
          <w:bCs/>
          <w:b/>
        </w:rPr>
        <w:t xml:space="preserve">Differentiation:</w:t>
      </w:r>
      <w:r>
        <w:t xml:space="preserve"> </w:t>
      </w:r>
      <w:r>
        <w:t xml:space="preserve">Develop strategies to better support students who are struggling, such as providing additional resources or simplified explanations.</w:t>
      </w:r>
    </w:p>
    <w:p>
      <w:pPr>
        <w:numPr>
          <w:ilvl w:val="0"/>
          <w:numId w:val="1001"/>
        </w:numPr>
        <w:pStyle w:val="Compact"/>
      </w:pPr>
      <w:r>
        <w:rPr>
          <w:bCs/>
          <w:b/>
        </w:rPr>
        <w:t xml:space="preserve">Technology Integration:</w:t>
      </w:r>
      <w:r>
        <w:t xml:space="preserve"> </w:t>
      </w:r>
      <w:r>
        <w:t xml:space="preserve">Enhance technical skills to ensure seamless use of digital tools during lessons.</w:t>
      </w:r>
    </w:p>
    <w:p>
      <w:pPr>
        <w:numPr>
          <w:ilvl w:val="0"/>
          <w:numId w:val="1001"/>
        </w:numPr>
        <w:pStyle w:val="Compact"/>
      </w:pPr>
      <w:r>
        <w:rPr>
          <w:bCs/>
          <w:b/>
        </w:rPr>
        <w:t xml:space="preserve">Written Feedback:</w:t>
      </w:r>
      <w:r>
        <w:t xml:space="preserve"> </w:t>
      </w:r>
      <w:r>
        <w:t xml:space="preserve">Increase the depth and specificity of written feedback on student assignments to promote deeper learning.</w:t>
      </w:r>
    </w:p>
    <w:p>
      <w:pPr>
        <w:numPr>
          <w:ilvl w:val="0"/>
          <w:numId w:val="1001"/>
        </w:numPr>
        <w:pStyle w:val="Compact"/>
      </w:pPr>
      <w:r>
        <w:rPr>
          <w:bCs/>
          <w:b/>
        </w:rPr>
        <w:t xml:space="preserve">Student Engagement:</w:t>
      </w:r>
      <w:r>
        <w:t xml:space="preserve"> </w:t>
      </w:r>
      <w:r>
        <w:t xml:space="preserve">Continue to use varied instructional methods to maintain high levels of student engagement, particularly in the latter part of the lesson.</w:t>
      </w:r>
    </w:p>
    <w:bookmarkEnd w:id="26"/>
    <w:bookmarkStart w:id="27" w:name="conclusion"/>
    <w:p>
      <w:pPr>
        <w:pStyle w:val="Heading2"/>
      </w:pPr>
      <w:r>
        <w:t xml:space="preserve">7. Conclusion</w:t>
      </w:r>
    </w:p>
    <w:p>
      <w:pPr>
        <w:pStyle w:val="FirstParagraph"/>
      </w:pPr>
      <w:r>
        <w:t xml:space="preserve">In conclusion, this Peer Review Report highlights the strengths and areas for growth of the Teacher Secondary in Indonesia Jakarta. The teacher demonstrates a strong commitment to student learning, effective classroom management, and alignment with curriculum standards. By addressing the recommended areas for improvement, the Teacher Secondary can further enhance their instructional practice and contribute to the high-quality education provided in Jakarta's secondary schools. This review is intended to support professional development and continuous improvement in teaching excellence.</w:t>
      </w:r>
    </w:p>
    <w:bookmarkEnd w:id="27"/>
    <w:p>
      <w:pPr>
        <w:pStyle w:val="BodyText"/>
      </w:pPr>
      <w:r>
        <w:rPr>
          <w:bCs/>
          <w:b/>
        </w:rPr>
        <w:t xml:space="preserve">Reviewed by:</w:t>
      </w:r>
      <w:r>
        <w:t xml:space="preserve"> </w:t>
      </w:r>
      <w:r>
        <w:t xml:space="preserve">[Peer Reviewer Name]</w:t>
      </w:r>
    </w:p>
    <w:p>
      <w:pPr>
        <w:pStyle w:val="BodyText"/>
      </w:pPr>
      <w:r>
        <w:rPr>
          <w:bCs/>
          <w:b/>
        </w:rPr>
        <w:t xml:space="preserve">Role:</w:t>
      </w:r>
      <w:r>
        <w:t xml:space="preserve"> </w:t>
      </w:r>
      <w:r>
        <w:t xml:space="preserve">Senior Teacher / Department Head</w:t>
      </w:r>
    </w:p>
    <w:p>
      <w:pPr>
        <w:pStyle w:val="BodyText"/>
      </w:pPr>
      <w:r>
        <w:rPr>
          <w:bCs/>
          <w:b/>
        </w:rPr>
        <w:t xml:space="preserve">Date:</w:t>
      </w:r>
      <w:r>
        <w:t xml:space="preserve"> </w:t>
      </w:r>
      <w:r>
        <w:t xml:space="preserve">October 25, 2023</w:t>
      </w:r>
    </w:p>
    <w:p>
      <w:pPr>
        <w:pStyle w:val="BodyText"/>
      </w:pPr>
      <w:r>
        <w:rPr>
          <w:bCs/>
          <w:b/>
        </w:rPr>
        <w:t xml:space="preserve">Teacher Secondary:</w:t>
      </w:r>
      <w:r>
        <w:t xml:space="preserve"> </w:t>
      </w:r>
      <w:r>
        <w:t xml:space="preserve">[Teacher Name]</w:t>
      </w:r>
    </w:p>
    <w:p>
      <w:pPr>
        <w:pStyle w:val="BodyText"/>
      </w:pPr>
      <w:r>
        <w:rPr>
          <w:bCs/>
          <w:b/>
        </w:rPr>
        <w:t xml:space="preserve">Role:</w:t>
      </w:r>
      <w:r>
        <w:t xml:space="preserve"> </w:t>
      </w:r>
      <w:r>
        <w:t xml:space="preserve">Mathematics Teacher</w:t>
      </w:r>
    </w:p>
    <w:p>
      <w:pPr>
        <w:pStyle w:val="BodyText"/>
      </w:pPr>
      <w:r>
        <w:rPr>
          <w:bCs/>
          <w:b/>
        </w:rPr>
        <w:t xml:space="preserve">Date:</w:t>
      </w:r>
      <w:r>
        <w:t xml:space="preserve"> </w:t>
      </w:r>
      <w:r>
        <w:t xml:space="preserve">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Indonesia Jakarta</dc:title>
  <dc:creator/>
  <dc:language>en</dc:language>
  <cp:keywords/>
  <dcterms:created xsi:type="dcterms:W3CDTF">2026-10-10T08:52:53Z</dcterms:created>
  <dcterms:modified xsi:type="dcterms:W3CDTF">2026-10-10T08:52:53Z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