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Tehran,</w:t>
      </w:r>
      <w:r>
        <w:t xml:space="preserve"> </w:t>
      </w:r>
      <w:r>
        <w:t xml:space="preserve">Iran</w:t>
      </w:r>
    </w:p>
    <w:bookmarkStart w:id="20" w:name="peer-review-report-teacher-secondary"/>
    <w:p>
      <w:pPr>
        <w:pStyle w:val="Heading1"/>
      </w:pPr>
      <w:r>
        <w:t xml:space="preserve">Peer Review Report: Teacher Secondary</w:t>
      </w:r>
    </w:p>
    <w:p>
      <w:pPr>
        <w:pStyle w:val="FirstParagraph"/>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1402-1403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of a Teacher Secondary within the educational framework of Tehran, Iran. The review process is conducted in accordance with the guidelines set forth by the Tehran Department of Education, aiming to enhance the quality of secondary education and ensure alignment with national curriculum standards.</w:t>
      </w:r>
    </w:p>
    <w:p>
      <w:pPr>
        <w:pStyle w:val="BodyText"/>
      </w:pPr>
      <w:r>
        <w:t xml:space="preserve">The context of this review is specific to the urban educational environment of Tehran, where diverse student populations and high academic expectations require teachers to demonstrate adaptability, cultural sensitivity, and rigorous instructional planning. The focus of this report is to provide constructive feedback that supports the professional growth of the educator while maintaining the high standards expected in Iranian secondary schools.</w:t>
      </w:r>
    </w:p>
    <w:bookmarkEnd w:id="21"/>
    <w:bookmarkStart w:id="22" w:name="teacher-information"/>
    <w:p>
      <w:pPr>
        <w:pStyle w:val="Heading2"/>
      </w:pPr>
      <w:r>
        <w:t xml:space="preserve">2. Teacher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[Teacher Name]</w:t>
            </w:r>
          </w:p>
        </w:tc>
      </w:tr>
      <w:tr>
        <w:tc>
          <w:tcPr/>
          <w:p>
            <w:pPr>
              <w:pStyle w:val="Compact"/>
              <w:jc w:val="left"/>
            </w:pPr>
            <w:r>
              <w:t xml:space="preserve">Subject</w:t>
            </w:r>
          </w:p>
        </w:tc>
        <w:tc>
          <w:tcPr/>
          <w:p>
            <w:pPr>
              <w:pStyle w:val="Compact"/>
              <w:jc w:val="left"/>
            </w:pPr>
            <w:r>
              <w:t xml:space="preserve">[Subject, e.g., Mathematics, Literature]</w:t>
            </w:r>
          </w:p>
        </w:tc>
      </w:tr>
      <w:tr>
        <w:tc>
          <w:tcPr/>
          <w:p>
            <w:pPr>
              <w:pStyle w:val="Compact"/>
              <w:jc w:val="left"/>
            </w:pPr>
            <w:r>
              <w:t xml:space="preserve">Grade Level</w:t>
            </w:r>
          </w:p>
        </w:tc>
        <w:tc>
          <w:tcPr/>
          <w:p>
            <w:pPr>
              <w:pStyle w:val="Compact"/>
              <w:jc w:val="left"/>
            </w:pPr>
            <w:r>
              <w:t xml:space="preserve">Secondary (Grades 7-12)</w:t>
            </w:r>
          </w:p>
        </w:tc>
      </w:tr>
      <w:tr>
        <w:tc>
          <w:tcPr/>
          <w:p>
            <w:pPr>
              <w:pStyle w:val="Compact"/>
              <w:jc w:val="left"/>
            </w:pPr>
            <w:r>
              <w:t xml:space="preserve">School Name</w:t>
            </w:r>
          </w:p>
        </w:tc>
        <w:tc>
          <w:tcPr/>
          <w:p>
            <w:pPr>
              <w:pStyle w:val="Compact"/>
              <w:jc w:val="left"/>
            </w:pPr>
            <w:r>
              <w:t xml:space="preserve">[School Name], Tehran</w:t>
            </w:r>
          </w:p>
        </w:tc>
      </w:tr>
      <w:tr>
        <w:tc>
          <w:tcPr/>
          <w:p>
            <w:pPr>
              <w:pStyle w:val="Compact"/>
              <w:jc w:val="left"/>
            </w:pPr>
            <w:r>
              <w:t xml:space="preserve">Reviewer</w:t>
            </w:r>
          </w:p>
        </w:tc>
        <w:tc>
          <w:tcPr/>
          <w:p>
            <w:pPr>
              <w:pStyle w:val="Compact"/>
              <w:jc w:val="left"/>
            </w:pPr>
            <w:r>
              <w:t xml:space="preserve">[Peer Reviewer Name]</w:t>
            </w:r>
          </w:p>
        </w:tc>
      </w:tr>
    </w:tbl>
    <w:bookmarkEnd w:id="22"/>
    <w:bookmarkStart w:id="28" w:name="evaluation-criteria-and-observations"/>
    <w:p>
      <w:pPr>
        <w:pStyle w:val="Heading2"/>
      </w:pPr>
      <w:r>
        <w:t xml:space="preserve">3. Evaluation Criteria and Observations</w:t>
      </w:r>
    </w:p>
    <w:p>
      <w:pPr>
        <w:pStyle w:val="FirstParagraph"/>
      </w:pPr>
      <w:r>
        <w:t xml:space="preserve">The evaluation of the Teacher Secondary was based on several key criteria relevant to the Iranian educational system. These criteria include lesson planning, instructional delivery, classroom management, student engagement, and assessment practices.</w:t>
      </w:r>
    </w:p>
    <w:bookmarkStart w:id="23" w:name="lesson-planning-and-preparation"/>
    <w:p>
      <w:pPr>
        <w:pStyle w:val="Heading3"/>
      </w:pPr>
      <w:r>
        <w:t xml:space="preserve">3.1 Lesson Planning and Preparation</w:t>
      </w:r>
    </w:p>
    <w:p>
      <w:pPr>
        <w:pStyle w:val="FirstParagraph"/>
      </w:pPr>
      <w:r>
        <w:t xml:space="preserve">The teacher demonstrated a thorough understanding of the national curriculum mandated by the Ministry of Education in Iran. Lesson plans were well-structured, aligning with the learning objectives for the specific grade level. The integration of local cultural references and examples relevant to students in Tehran was noted as a strength, making the content more relatable and engaging. However, there is room for improvement in incorporating more diverse teaching materials beyond the standard textbooks to cater to varying learning styles.</w:t>
      </w:r>
    </w:p>
    <w:bookmarkEnd w:id="23"/>
    <w:bookmarkStart w:id="24" w:name="instructional-delivery"/>
    <w:p>
      <w:pPr>
        <w:pStyle w:val="Heading3"/>
      </w:pPr>
      <w:r>
        <w:t xml:space="preserve">3.2 Instructional Delivery</w:t>
      </w:r>
    </w:p>
    <w:p>
      <w:pPr>
        <w:pStyle w:val="FirstParagraph"/>
      </w:pPr>
      <w:r>
        <w:t xml:space="preserve">During the observed sessions, the Teacher Secondary exhibited clear communication skills and a strong command of the subject matter. The pacing of the lessons was appropriate, allowing students sufficient time to grasp complex concepts. The use of visual aids and interactive methods was evident, which is crucial in maintaining the attention of secondary students. Nevertheless, the teacher could benefit from incorporating more technology-enhanced learning tools, which are increasingly being promoted in Tehran's modern educational initiatives.</w:t>
      </w:r>
    </w:p>
    <w:bookmarkEnd w:id="24"/>
    <w:bookmarkStart w:id="25" w:name="classroom-management"/>
    <w:p>
      <w:pPr>
        <w:pStyle w:val="Heading3"/>
      </w:pPr>
      <w:r>
        <w:t xml:space="preserve">3.3 Classroom Management</w:t>
      </w:r>
    </w:p>
    <w:p>
      <w:pPr>
        <w:pStyle w:val="FirstParagraph"/>
      </w:pPr>
      <w:r>
        <w:t xml:space="preserve">Classroom management was effective, with the teacher maintaining a respectful and disciplined environment. The teacher successfully managed student behavior, ensuring that disruptions were minimal and that all students felt safe to participate. The approach to discipline was consistent with the cultural norms and expectations within Iranian schools. However, fostering a more collaborative classroom atmosphere where students feel empowered to express their opinions could further enhance the learning experience.</w:t>
      </w:r>
    </w:p>
    <w:bookmarkEnd w:id="25"/>
    <w:bookmarkStart w:id="26" w:name="student-engagement-and-interaction"/>
    <w:p>
      <w:pPr>
        <w:pStyle w:val="Heading3"/>
      </w:pPr>
      <w:r>
        <w:t xml:space="preserve">3.4 Student Engagement and Interaction</w:t>
      </w:r>
    </w:p>
    <w:p>
      <w:pPr>
        <w:pStyle w:val="FirstParagraph"/>
      </w:pPr>
      <w:r>
        <w:t xml:space="preserve">Student engagement was generally high, with the teacher employing strategies to encourage active participation. Group activities and discussions were utilized effectively to promote peer learning. The teacher showed a genuine interest in students' progress and provided timely feedback. To further improve engagement, the teacher might consider incorporating more real-world problem-solving tasks that connect classroom learning to the students' daily lives in Tehran.</w:t>
      </w:r>
    </w:p>
    <w:bookmarkEnd w:id="26"/>
    <w:bookmarkStart w:id="27" w:name="assessment-and-feedback"/>
    <w:p>
      <w:pPr>
        <w:pStyle w:val="Heading3"/>
      </w:pPr>
      <w:r>
        <w:t xml:space="preserve">3.5 Assessment and Feedback</w:t>
      </w:r>
    </w:p>
    <w:p>
      <w:pPr>
        <w:pStyle w:val="FirstParagraph"/>
      </w:pPr>
      <w:r>
        <w:t xml:space="preserve">The assessment practices observed were aligned with the national examination standards. The teacher used a variety of assessment methods, including quizzes, projects, and oral presentations, to evaluate student understanding. Feedback provided to students was constructive and aimed at guiding their improvement. However, there is an opportunity to increase the frequency of formative assessments to better monitor student progress throughout the term.</w:t>
      </w:r>
    </w:p>
    <w:bookmarkEnd w:id="27"/>
    <w:bookmarkEnd w:id="28"/>
    <w:bookmarkStart w:id="29" w:name="strengths"/>
    <w:p>
      <w:pPr>
        <w:pStyle w:val="Heading2"/>
      </w:pPr>
      <w:r>
        <w:t xml:space="preserve">4. Strengths</w:t>
      </w:r>
    </w:p>
    <w:p>
      <w:pPr>
        <w:numPr>
          <w:ilvl w:val="0"/>
          <w:numId w:val="1001"/>
        </w:numPr>
        <w:pStyle w:val="Compact"/>
      </w:pPr>
      <w:r>
        <w:t xml:space="preserve">Strong alignment with the national curriculum and educational standards of Iran.</w:t>
      </w:r>
    </w:p>
    <w:p>
      <w:pPr>
        <w:numPr>
          <w:ilvl w:val="0"/>
          <w:numId w:val="1001"/>
        </w:numPr>
        <w:pStyle w:val="Compact"/>
      </w:pPr>
      <w:r>
        <w:t xml:space="preserve">Effective classroom management that respects cultural norms and maintains discipline.</w:t>
      </w:r>
    </w:p>
    <w:p>
      <w:pPr>
        <w:numPr>
          <w:ilvl w:val="0"/>
          <w:numId w:val="1001"/>
        </w:numPr>
        <w:pStyle w:val="Compact"/>
      </w:pPr>
      <w:r>
        <w:t xml:space="preserve">Clear and articulate instructional delivery that facilitates student understanding.</w:t>
      </w:r>
    </w:p>
    <w:p>
      <w:pPr>
        <w:numPr>
          <w:ilvl w:val="0"/>
          <w:numId w:val="1001"/>
        </w:numPr>
        <w:pStyle w:val="Compact"/>
      </w:pPr>
      <w:r>
        <w:t xml:space="preserve">Use of culturally relevant examples that resonate with students in Tehran.</w:t>
      </w:r>
    </w:p>
    <w:p>
      <w:pPr>
        <w:numPr>
          <w:ilvl w:val="0"/>
          <w:numId w:val="1001"/>
        </w:numPr>
        <w:pStyle w:val="Compact"/>
      </w:pPr>
      <w:r>
        <w:t xml:space="preserve">Consistent and constructive feedback to support student learning.</w:t>
      </w:r>
    </w:p>
    <w:bookmarkEnd w:id="29"/>
    <w:bookmarkStart w:id="30" w:name="areas-for-improvement"/>
    <w:p>
      <w:pPr>
        <w:pStyle w:val="Heading2"/>
      </w:pPr>
      <w:r>
        <w:t xml:space="preserve">5. Areas for Improvement</w:t>
      </w:r>
    </w:p>
    <w:p>
      <w:pPr>
        <w:numPr>
          <w:ilvl w:val="0"/>
          <w:numId w:val="1002"/>
        </w:numPr>
        <w:pStyle w:val="Compact"/>
      </w:pPr>
      <w:r>
        <w:t xml:space="preserve">Incorporate more diverse teaching materials and resources beyond standard textbooks.</w:t>
      </w:r>
    </w:p>
    <w:p>
      <w:pPr>
        <w:numPr>
          <w:ilvl w:val="0"/>
          <w:numId w:val="1002"/>
        </w:numPr>
        <w:pStyle w:val="Compact"/>
      </w:pPr>
      <w:r>
        <w:t xml:space="preserve">Integrate technology-enhanced learning tools to modernize instructional methods.</w:t>
      </w:r>
    </w:p>
    <w:p>
      <w:pPr>
        <w:numPr>
          <w:ilvl w:val="0"/>
          <w:numId w:val="1002"/>
        </w:numPr>
        <w:pStyle w:val="Compact"/>
      </w:pPr>
      <w:r>
        <w:t xml:space="preserve">Foster a more collaborative classroom environment that encourages student voice and participation.</w:t>
      </w:r>
    </w:p>
    <w:p>
      <w:pPr>
        <w:numPr>
          <w:ilvl w:val="0"/>
          <w:numId w:val="1002"/>
        </w:numPr>
        <w:pStyle w:val="Compact"/>
      </w:pPr>
      <w:r>
        <w:t xml:space="preserve">Increase the use of real-world problem-solving tasks to enhance relevance and engagement.</w:t>
      </w:r>
    </w:p>
    <w:p>
      <w:pPr>
        <w:numPr>
          <w:ilvl w:val="0"/>
          <w:numId w:val="1002"/>
        </w:numPr>
        <w:pStyle w:val="Compact"/>
      </w:pPr>
      <w:r>
        <w:t xml:space="preserve">Implement more frequent formative assessments to track student progress continuously.</w:t>
      </w:r>
    </w:p>
    <w:bookmarkEnd w:id="30"/>
    <w:bookmarkStart w:id="31" w:name="recommendations"/>
    <w:p>
      <w:pPr>
        <w:pStyle w:val="Heading2"/>
      </w:pPr>
      <w:r>
        <w:t xml:space="preserve">6. Recommendations</w:t>
      </w:r>
    </w:p>
    <w:p>
      <w:pPr>
        <w:pStyle w:val="FirstParagraph"/>
      </w:pPr>
      <w:r>
        <w:t xml:space="preserve">Based on the observations and evaluations, the following recommendations are made to support the professional development of the Teacher Secondary:</w:t>
      </w:r>
    </w:p>
    <w:p>
      <w:pPr>
        <w:numPr>
          <w:ilvl w:val="0"/>
          <w:numId w:val="1003"/>
        </w:numPr>
        <w:pStyle w:val="Compact"/>
      </w:pPr>
      <w:r>
        <w:t xml:space="preserve">Participate in professional development workshops focused on integrating technology into the classroom.</w:t>
      </w:r>
    </w:p>
    <w:p>
      <w:pPr>
        <w:numPr>
          <w:ilvl w:val="0"/>
          <w:numId w:val="1003"/>
        </w:numPr>
        <w:pStyle w:val="Compact"/>
      </w:pPr>
      <w:r>
        <w:t xml:space="preserve">Explore and adopt innovative teaching strategies that promote active learning and student collaboration.</w:t>
      </w:r>
    </w:p>
    <w:p>
      <w:pPr>
        <w:numPr>
          <w:ilvl w:val="0"/>
          <w:numId w:val="1003"/>
        </w:numPr>
        <w:pStyle w:val="Compact"/>
      </w:pPr>
      <w:r>
        <w:t xml:space="preserve">Engage with colleagues in peer learning communities to share best practices and resources.</w:t>
      </w:r>
    </w:p>
    <w:p>
      <w:pPr>
        <w:numPr>
          <w:ilvl w:val="0"/>
          <w:numId w:val="1003"/>
        </w:numPr>
        <w:pStyle w:val="Compact"/>
      </w:pPr>
      <w:r>
        <w:t xml:space="preserve">Develop a plan to incorporate more formative assessments into the teaching routine.</w:t>
      </w:r>
    </w:p>
    <w:p>
      <w:pPr>
        <w:numPr>
          <w:ilvl w:val="0"/>
          <w:numId w:val="1003"/>
        </w:numPr>
        <w:pStyle w:val="Compact"/>
      </w:pPr>
      <w:r>
        <w:t xml:space="preserve">Seek feedback from students regularly to understand their learning needs and preferences better.</w:t>
      </w:r>
    </w:p>
    <w:bookmarkEnd w:id="31"/>
    <w:bookmarkStart w:id="32" w:name="conclusion"/>
    <w:p>
      <w:pPr>
        <w:pStyle w:val="Heading2"/>
      </w:pPr>
      <w:r>
        <w:t xml:space="preserve">7. Conclusion</w:t>
      </w:r>
    </w:p>
    <w:p>
      <w:pPr>
        <w:pStyle w:val="FirstParagraph"/>
      </w:pPr>
      <w:r>
        <w:t xml:space="preserve">This Peer Review Report highlights the strengths and areas for improvement of the Teacher Secondary in the context of Tehran, Iran. The teacher has demonstrated a strong commitment to education and adherence to national standards. By addressing the identified areas for improvement and implementing the recommended strategies, the teacher can further enhance their instructional effectiveness and contribute to the academic success of their students. Continuous professional development and reflective practice are essential for maintaining high educational standards in the dynamic environment of Tehran's secondary schools.</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Tehran, Iran</dc:title>
  <dc:creator/>
  <dc:language>en</dc:language>
  <cp:keywords/>
  <dcterms:created xsi:type="dcterms:W3CDTF">2026-10-10T03:13:22Z</dcterms:created>
  <dcterms:modified xsi:type="dcterms:W3CDTF">2026-10-10T03:13:22Z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