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Secondary</w:t>
      </w:r>
      <w:r>
        <w:t xml:space="preserve"> </w:t>
      </w:r>
      <w:r>
        <w:t xml:space="preserve">Education</w:t>
      </w:r>
      <w:r>
        <w:t xml:space="preserve"> </w:t>
      </w:r>
      <w:r>
        <w:t xml:space="preserve">-</w:t>
      </w:r>
      <w:r>
        <w:t xml:space="preserve"> </w:t>
      </w:r>
      <w:r>
        <w:t xml:space="preserve">Tel</w:t>
      </w:r>
      <w:r>
        <w:t xml:space="preserve"> </w:t>
      </w:r>
      <w:r>
        <w:t xml:space="preserve">Aviv,</w:t>
      </w:r>
      <w:r>
        <w:t xml:space="preserve"> </w:t>
      </w:r>
      <w:r>
        <w:t xml:space="preserve">Israel</w:t>
      </w:r>
    </w:p>
    <w:bookmarkStart w:id="20" w:name="peer-review-report"/>
    <w:p>
      <w:pPr>
        <w:pStyle w:val="Heading1"/>
      </w:pPr>
      <w:r>
        <w:t xml:space="preserve">Peer Review Report</w:t>
      </w:r>
    </w:p>
    <w:p>
      <w:pPr>
        <w:pStyle w:val="FirstParagraph"/>
      </w:pPr>
      <w:r>
        <w:t xml:space="preserve">Secondary Education Department</w:t>
      </w:r>
    </w:p>
    <w:p>
      <w:pPr>
        <w:pStyle w:val="BodyText"/>
      </w:pPr>
      <w:r>
        <w:rPr>
          <w:bCs/>
          <w:b/>
        </w:rPr>
        <w:t xml:space="preserve">Location:</w:t>
      </w:r>
      <w:r>
        <w:t xml:space="preserve"> </w:t>
      </w:r>
      <w:r>
        <w:t xml:space="preserve">Tel Aviv-Yafo, Israel</w:t>
      </w:r>
    </w:p>
    <w:p>
      <w:pPr>
        <w:pStyle w:val="BodyText"/>
      </w:pPr>
      <w:r>
        <w:rPr>
          <w:bCs/>
          <w:b/>
        </w:rPr>
        <w:t xml:space="preserve">Date of Observation:</w:t>
      </w:r>
      <w:r>
        <w:t xml:space="preserve"> </w:t>
      </w:r>
      <w:r>
        <w:t xml:space="preserve">October 24, 2023</w:t>
      </w:r>
    </w:p>
    <w:p>
      <w:pPr>
        <w:pStyle w:val="BodyText"/>
      </w:pPr>
      <w:r>
        <w:rPr>
          <w:bCs/>
          <w:b/>
        </w:rPr>
        <w:t xml:space="preserve">Report Date:</w:t>
      </w:r>
      <w:r>
        <w:t xml:space="preserve"> </w:t>
      </w:r>
      <w:r>
        <w:t xml:space="preserve">October 30, 2023</w:t>
      </w:r>
    </w:p>
    <w:bookmarkEnd w:id="20"/>
    <w:bookmarkStart w:id="21" w:name="executive-summary"/>
    <w:p>
      <w:pPr>
        <w:pStyle w:val="Heading2"/>
      </w:pPr>
      <w:r>
        <w:t xml:space="preserve">1. Executive Summary</w:t>
      </w:r>
    </w:p>
    <w:p>
      <w:pPr>
        <w:pStyle w:val="FirstParagraph"/>
      </w:pPr>
      <w:r>
        <w:t xml:space="preserve">This Peer Review Report serves as a formal evaluation of the pedagogical practices, classroom management, and curricular alignment of a</w:t>
      </w:r>
      <w:r>
        <w:t xml:space="preserve"> </w:t>
      </w:r>
      <w:r>
        <w:rPr>
          <w:bCs/>
          <w:b/>
        </w:rPr>
        <w:t xml:space="preserve">Teacher Secondary</w:t>
      </w:r>
      <w:r>
        <w:t xml:space="preserve"> </w:t>
      </w:r>
      <w:r>
        <w:t xml:space="preserve">within the educational framework of</w:t>
      </w:r>
      <w:r>
        <w:t xml:space="preserve"> </w:t>
      </w:r>
      <w:r>
        <w:rPr>
          <w:bCs/>
          <w:b/>
        </w:rPr>
        <w:t xml:space="preserve">Israel Tel Aviv</w:t>
      </w:r>
      <w:r>
        <w:t xml:space="preserve">. The review was conducted in accordance with the standards set by the Ministry of Education and the specific guidelines of the Tel Aviv-Yafo Municipal Education Department. The primary objective of this assessment is to foster professional growth, ensure high-quality instruction for adolescents, and align teaching methodologies with the diverse, multicultural, and technologically advanced environment characteristic of Tel Aviv schools.</w:t>
      </w:r>
    </w:p>
    <w:p>
      <w:pPr>
        <w:pStyle w:val="BodyText"/>
      </w:pPr>
      <w:r>
        <w:t xml:space="preserve">The observed educator demonstrates a strong commitment to student-centered learning and effectively navigates the complexities of the Israeli secondary curriculum. The report below details specific observations regarding instructional strategies, student engagement, and adherence to national standards, followed by constructive recommendations for continued professional development.</w:t>
      </w:r>
    </w:p>
    <w:bookmarkEnd w:id="21"/>
    <w:bookmarkStart w:id="22" w:name="teacher-and-context-profile"/>
    <w:p>
      <w:pPr>
        <w:pStyle w:val="Heading2"/>
      </w:pPr>
      <w:r>
        <w:t xml:space="preserve">2. Teacher and Context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Details</w:t>
            </w:r>
          </w:p>
        </w:tc>
      </w:tr>
      <w:tr>
        <w:tc>
          <w:tcPr/>
          <w:p>
            <w:pPr>
              <w:pStyle w:val="Compact"/>
              <w:jc w:val="left"/>
            </w:pPr>
            <w:r>
              <w:rPr>
                <w:bCs/>
                <w:b/>
              </w:rPr>
              <w:t xml:space="preserve">Teacher Name</w:t>
            </w:r>
          </w:p>
        </w:tc>
        <w:tc>
          <w:tcPr/>
          <w:p>
            <w:pPr>
              <w:pStyle w:val="Compact"/>
              <w:jc w:val="left"/>
            </w:pPr>
            <w:r>
              <w:t xml:space="preserve">[Confidential / Redacted]</w:t>
            </w:r>
          </w:p>
        </w:tc>
      </w:tr>
      <w:tr>
        <w:tc>
          <w:tcPr/>
          <w:p>
            <w:pPr>
              <w:pStyle w:val="Compact"/>
              <w:jc w:val="left"/>
            </w:pPr>
            <w:r>
              <w:rPr>
                <w:bCs/>
                <w:b/>
              </w:rPr>
              <w:t xml:space="preserve">Subject Area</w:t>
            </w:r>
          </w:p>
        </w:tc>
        <w:tc>
          <w:tcPr/>
          <w:p>
            <w:pPr>
              <w:pStyle w:val="Compact"/>
              <w:jc w:val="left"/>
            </w:pPr>
            <w:r>
              <w:t xml:space="preserve">Humanities / Social Sciences</w:t>
            </w:r>
          </w:p>
        </w:tc>
      </w:tr>
      <w:tr>
        <w:tc>
          <w:tcPr/>
          <w:p>
            <w:pPr>
              <w:pStyle w:val="Compact"/>
              <w:jc w:val="left"/>
            </w:pPr>
            <w:r>
              <w:rPr>
                <w:bCs/>
                <w:b/>
              </w:rPr>
              <w:t xml:space="preserve">Grade Level</w:t>
            </w:r>
          </w:p>
        </w:tc>
        <w:tc>
          <w:tcPr/>
          <w:p>
            <w:pPr>
              <w:pStyle w:val="Compact"/>
              <w:jc w:val="left"/>
            </w:pPr>
            <w:r>
              <w:t xml:space="preserve">10th Grade (Secondary)</w:t>
            </w:r>
          </w:p>
        </w:tc>
      </w:tr>
      <w:tr>
        <w:tc>
          <w:tcPr/>
          <w:p>
            <w:pPr>
              <w:pStyle w:val="Compact"/>
              <w:jc w:val="left"/>
            </w:pPr>
            <w:r>
              <w:rPr>
                <w:bCs/>
                <w:b/>
              </w:rPr>
              <w:t xml:space="preserve">School Location</w:t>
            </w:r>
          </w:p>
        </w:tc>
        <w:tc>
          <w:tcPr/>
          <w:p>
            <w:pPr>
              <w:pStyle w:val="Compact"/>
              <w:jc w:val="left"/>
            </w:pPr>
            <w:r>
              <w:t xml:space="preserve">Tel Aviv-Yafo, Israel</w:t>
            </w:r>
          </w:p>
        </w:tc>
      </w:tr>
      <w:tr>
        <w:tc>
          <w:tcPr/>
          <w:p>
            <w:pPr>
              <w:pStyle w:val="Compact"/>
              <w:jc w:val="left"/>
            </w:pPr>
            <w:r>
              <w:rPr>
                <w:bCs/>
                <w:b/>
              </w:rPr>
              <w:t xml:space="preserve">Observer</w:t>
            </w:r>
          </w:p>
        </w:tc>
        <w:tc>
          <w:tcPr/>
          <w:p>
            <w:pPr>
              <w:pStyle w:val="Compact"/>
              <w:jc w:val="left"/>
            </w:pPr>
            <w:r>
              <w:t xml:space="preserve">Senior Peer Reviewer, Tel Aviv District</w:t>
            </w:r>
          </w:p>
        </w:tc>
      </w:tr>
    </w:tbl>
    <w:bookmarkEnd w:id="22"/>
    <w:bookmarkStart w:id="23" w:name="evaluation-criteria-and-rating-scale"/>
    <w:p>
      <w:pPr>
        <w:pStyle w:val="Heading2"/>
      </w:pPr>
      <w:r>
        <w:t xml:space="preserve">3. Evaluation Criteria and Rating Scale</w:t>
      </w:r>
    </w:p>
    <w:p>
      <w:pPr>
        <w:pStyle w:val="FirstParagraph"/>
      </w:pPr>
      <w:r>
        <w:rPr>
          <w:bCs/>
          <w:b/>
        </w:rPr>
        <w:t xml:space="preserve">Rating Scale:</w:t>
      </w:r>
    </w:p>
    <w:p>
      <w:pPr>
        <w:numPr>
          <w:ilvl w:val="0"/>
          <w:numId w:val="1001"/>
        </w:numPr>
        <w:pStyle w:val="Compact"/>
      </w:pPr>
      <w:r>
        <w:rPr>
          <w:bCs/>
          <w:b/>
        </w:rPr>
        <w:t xml:space="preserve">5 - Exemplary:</w:t>
      </w:r>
      <w:r>
        <w:t xml:space="preserve"> </w:t>
      </w:r>
      <w:r>
        <w:t xml:space="preserve">Exceeds expectations; serves as a model for peers in Tel Aviv.</w:t>
      </w:r>
    </w:p>
    <w:p>
      <w:pPr>
        <w:numPr>
          <w:ilvl w:val="0"/>
          <w:numId w:val="1001"/>
        </w:numPr>
        <w:pStyle w:val="Compact"/>
      </w:pPr>
      <w:r>
        <w:rPr>
          <w:bCs/>
          <w:b/>
        </w:rPr>
        <w:t xml:space="preserve">4 - Proficient:</w:t>
      </w:r>
      <w:r>
        <w:t xml:space="preserve"> </w:t>
      </w:r>
      <w:r>
        <w:t xml:space="preserve">Meets all standards; consistent and effective practice.</w:t>
      </w:r>
    </w:p>
    <w:p>
      <w:pPr>
        <w:numPr>
          <w:ilvl w:val="0"/>
          <w:numId w:val="1001"/>
        </w:numPr>
        <w:pStyle w:val="Compact"/>
      </w:pPr>
      <w:r>
        <w:rPr>
          <w:bCs/>
          <w:b/>
        </w:rPr>
        <w:t xml:space="preserve">3 - Developing:</w:t>
      </w:r>
      <w:r>
        <w:t xml:space="preserve"> </w:t>
      </w:r>
      <w:r>
        <w:t xml:space="preserve">Meets some standards; requires targeted support.</w:t>
      </w:r>
    </w:p>
    <w:p>
      <w:pPr>
        <w:numPr>
          <w:ilvl w:val="0"/>
          <w:numId w:val="1001"/>
        </w:numPr>
        <w:pStyle w:val="Compact"/>
      </w:pPr>
      <w:r>
        <w:rPr>
          <w:bCs/>
          <w:b/>
        </w:rPr>
        <w:t xml:space="preserve">2 - Unsatisfactory:</w:t>
      </w:r>
      <w:r>
        <w:t xml:space="preserve"> </w:t>
      </w:r>
      <w:r>
        <w:t xml:space="preserve">Does not meet standards; immediate intervention required.</w:t>
      </w:r>
    </w:p>
    <w:bookmarkEnd w:id="23"/>
    <w:bookmarkStart w:id="29" w:name="detailed-observations"/>
    <w:p>
      <w:pPr>
        <w:pStyle w:val="Heading2"/>
      </w:pPr>
      <w:r>
        <w:t xml:space="preserve">4. Detailed Observations</w:t>
      </w:r>
    </w:p>
    <w:bookmarkStart w:id="24" w:name="Xe7227b7fadb3a114f52985a8548fa8da0052b8c"/>
    <w:p>
      <w:pPr>
        <w:pStyle w:val="Heading3"/>
      </w:pPr>
      <w:r>
        <w:t xml:space="preserve">4.1 Instructional Planning and Content Knowledge</w:t>
      </w:r>
    </w:p>
    <w:p>
      <w:pPr>
        <w:pStyle w:val="FirstParagraph"/>
      </w:pPr>
      <w:r>
        <w:t xml:space="preserve">The</w:t>
      </w:r>
      <w:r>
        <w:t xml:space="preserve"> </w:t>
      </w:r>
      <w:r>
        <w:rPr>
          <w:bCs/>
          <w:b/>
        </w:rPr>
        <w:t xml:space="preserve">Teacher Secondary</w:t>
      </w:r>
      <w:r>
        <w:t xml:space="preserve"> </w:t>
      </w:r>
      <w:r>
        <w:t xml:space="preserve">exhibited a profound understanding of the subject matter, aligning the lesson objectives seamlessly with the Israeli Bagrut examination requirements. The lesson plan was meticulously structured, incorporating both historical context and contemporary relevance, which is crucial for engaging students in</w:t>
      </w:r>
      <w:r>
        <w:t xml:space="preserve"> </w:t>
      </w:r>
      <w:r>
        <w:rPr>
          <w:bCs/>
          <w:b/>
        </w:rPr>
        <w:t xml:space="preserve">Israel Tel Aviv</w:t>
      </w:r>
      <w:r>
        <w:t xml:space="preserve">. The educator successfully integrated interdisciplinary elements, connecting social studies with current civic issues prevalent in the region.</w:t>
      </w:r>
    </w:p>
    <w:p>
      <w:pPr>
        <w:pStyle w:val="BodyText"/>
      </w:pPr>
      <w:r>
        <w:rPr>
          <w:bCs/>
          <w:b/>
        </w:rPr>
        <w:t xml:space="preserve">Rating: 5 (Exemplary)</w:t>
      </w:r>
    </w:p>
    <w:bookmarkEnd w:id="24"/>
    <w:bookmarkStart w:id="25" w:name="classroom-environment-and-management"/>
    <w:p>
      <w:pPr>
        <w:pStyle w:val="Heading3"/>
      </w:pPr>
      <w:r>
        <w:t xml:space="preserve">4.2 Classroom Environment and Management</w:t>
      </w:r>
    </w:p>
    <w:p>
      <w:pPr>
        <w:pStyle w:val="FirstParagraph"/>
      </w:pPr>
      <w:r>
        <w:t xml:space="preserve">The classroom environment was conducive to learning, reflecting the dynamic and open culture often found in Tel Aviv educational institutions. The teacher established clear expectations and routines, allowing for a fluid transition between direct instruction and collaborative group work. Classroom management was proactive rather than reactive; the educator utilized positive reinforcement and non-verbal cues effectively to maintain focus without disrupting the flow of the lesson. The physical arrangement of the room facilitated interaction, supporting the diverse learning styles of the secondary students.</w:t>
      </w:r>
    </w:p>
    <w:p>
      <w:pPr>
        <w:pStyle w:val="BodyText"/>
      </w:pPr>
      <w:r>
        <w:rPr>
          <w:bCs/>
          <w:b/>
        </w:rPr>
        <w:t xml:space="preserve">Rating: 4 (Proficient)</w:t>
      </w:r>
    </w:p>
    <w:bookmarkEnd w:id="25"/>
    <w:bookmarkStart w:id="26" w:name="X04a76c972d12d4bcf5d8f292ddd0e0384f9522b"/>
    <w:p>
      <w:pPr>
        <w:pStyle w:val="Heading3"/>
      </w:pPr>
      <w:r>
        <w:t xml:space="preserve">4.3 Instructional Delivery and Differentiation</w:t>
      </w:r>
    </w:p>
    <w:p>
      <w:pPr>
        <w:pStyle w:val="FirstParagraph"/>
      </w:pPr>
      <w:r>
        <w:t xml:space="preserve">Instructional delivery was engaging and varied. The teacher utilized multimedia resources, including digital maps and primary source documents, to enhance understanding. A key strength observed was the differentiation of instruction. Recognizing the heterogeneous nature of the student body in</w:t>
      </w:r>
      <w:r>
        <w:t xml:space="preserve"> </w:t>
      </w:r>
      <w:r>
        <w:rPr>
          <w:bCs/>
          <w:b/>
        </w:rPr>
        <w:t xml:space="preserve">Israel Tel Aviv</w:t>
      </w:r>
      <w:r>
        <w:t xml:space="preserve">, the teacher provided scaffolded materials for students requiring additional support while offering extension activities for advanced learners. This approach ensures that all students, regardless of their background or proficiency level, are challenged appropriately.</w:t>
      </w:r>
    </w:p>
    <w:p>
      <w:pPr>
        <w:pStyle w:val="BodyText"/>
      </w:pPr>
      <w:r>
        <w:rPr>
          <w:bCs/>
          <w:b/>
        </w:rPr>
        <w:t xml:space="preserve">Rating: 5 (Exemplary)</w:t>
      </w:r>
    </w:p>
    <w:bookmarkEnd w:id="26"/>
    <w:bookmarkStart w:id="27" w:name="student-engagement-and-interaction"/>
    <w:p>
      <w:pPr>
        <w:pStyle w:val="Heading3"/>
      </w:pPr>
      <w:r>
        <w:t xml:space="preserve">4.4 Student Engagement and Interaction</w:t>
      </w:r>
    </w:p>
    <w:p>
      <w:pPr>
        <w:pStyle w:val="FirstParagraph"/>
      </w:pPr>
      <w:r>
        <w:t xml:space="preserve">Student engagement was high throughout the session. The teacher fostered a safe space for dialogue, encouraging students to express diverse viewpoints respectfully—a vital skill in the multicultural society of Tel Aviv. Socratic questioning techniques were employed effectively to stimulate critical thinking. Students were actively participating in discussions, debating ideas, and collaborating on tasks. The teacher circulated the room, providing immediate feedback and guiding student inquiry, which demonstrated a strong commitment to formative assessment.</w:t>
      </w:r>
    </w:p>
    <w:p>
      <w:pPr>
        <w:pStyle w:val="BodyText"/>
      </w:pPr>
      <w:r>
        <w:rPr>
          <w:bCs/>
          <w:b/>
        </w:rPr>
        <w:t xml:space="preserve">Rating: 5 (Exemplary)</w:t>
      </w:r>
    </w:p>
    <w:bookmarkEnd w:id="27"/>
    <w:bookmarkStart w:id="28" w:name="assessment-and-feedback"/>
    <w:p>
      <w:pPr>
        <w:pStyle w:val="Heading3"/>
      </w:pPr>
      <w:r>
        <w:t xml:space="preserve">4.5 Assessment and Feedback</w:t>
      </w:r>
    </w:p>
    <w:p>
      <w:pPr>
        <w:pStyle w:val="FirstParagraph"/>
      </w:pPr>
      <w:r>
        <w:t xml:space="preserve">The lesson included embedded formative assessments, such as exit tickets and quick polls, allowing the teacher to gauge student understanding in real-time. Feedback provided to students was specific, actionable, and timely. The teacher clearly explained the criteria for success, linking classroom activities directly to the learning objectives. This transparency helps students understand their progress and areas for improvement, aligning with best practices in secondary education.</w:t>
      </w:r>
    </w:p>
    <w:p>
      <w:pPr>
        <w:pStyle w:val="BodyText"/>
      </w:pPr>
      <w:r>
        <w:rPr>
          <w:bCs/>
          <w:b/>
        </w:rPr>
        <w:t xml:space="preserve">Rating: 4 (Proficient)</w:t>
      </w:r>
    </w:p>
    <w:bookmarkEnd w:id="28"/>
    <w:bookmarkEnd w:id="29"/>
    <w:bookmarkStart w:id="30" w:name="strengths"/>
    <w:p>
      <w:pPr>
        <w:pStyle w:val="Heading2"/>
      </w:pPr>
      <w:r>
        <w:t xml:space="preserve">5. Strengths</w:t>
      </w:r>
    </w:p>
    <w:p>
      <w:pPr>
        <w:numPr>
          <w:ilvl w:val="0"/>
          <w:numId w:val="1002"/>
        </w:numPr>
        <w:pStyle w:val="Compact"/>
      </w:pPr>
      <w:r>
        <w:rPr>
          <w:bCs/>
          <w:b/>
        </w:rPr>
        <w:t xml:space="preserve">Cultural Responsiveness:</w:t>
      </w:r>
      <w:r>
        <w:t xml:space="preserve"> </w:t>
      </w:r>
      <w:r>
        <w:t xml:space="preserve">The teacher effectively leverages the diverse cultural landscape of</w:t>
      </w:r>
      <w:r>
        <w:t xml:space="preserve"> </w:t>
      </w:r>
      <w:r>
        <w:rPr>
          <w:bCs/>
          <w:b/>
        </w:rPr>
        <w:t xml:space="preserve">Israel Tel Aviv</w:t>
      </w:r>
      <w:r>
        <w:t xml:space="preserve"> </w:t>
      </w:r>
      <w:r>
        <w:t xml:space="preserve">to make content relevant and engaging for all students.</w:t>
      </w:r>
    </w:p>
    <w:p>
      <w:pPr>
        <w:numPr>
          <w:ilvl w:val="0"/>
          <w:numId w:val="1002"/>
        </w:numPr>
        <w:pStyle w:val="Compact"/>
      </w:pPr>
      <w:r>
        <w:rPr>
          <w:bCs/>
          <w:b/>
        </w:rPr>
        <w:t xml:space="preserve">Curricular Alignment:</w:t>
      </w:r>
      <w:r>
        <w:t xml:space="preserve"> </w:t>
      </w:r>
      <w:r>
        <w:t xml:space="preserve">Demonstrates excellent knowledge of the national curriculum and Bagrut standards, ensuring students are well-prepared for future academic challenges.</w:t>
      </w:r>
    </w:p>
    <w:p>
      <w:pPr>
        <w:numPr>
          <w:ilvl w:val="0"/>
          <w:numId w:val="1002"/>
        </w:numPr>
        <w:pStyle w:val="Compact"/>
      </w:pPr>
      <w:r>
        <w:rPr>
          <w:bCs/>
          <w:b/>
        </w:rPr>
        <w:t xml:space="preserve">Student-Centered Approach:</w:t>
      </w:r>
      <w:r>
        <w:t xml:space="preserve"> </w:t>
      </w:r>
      <w:r>
        <w:t xml:space="preserve">Prioritizes active learning and critical thinking over passive reception of information, fostering independence in secondary students.</w:t>
      </w:r>
    </w:p>
    <w:p>
      <w:pPr>
        <w:numPr>
          <w:ilvl w:val="0"/>
          <w:numId w:val="1002"/>
        </w:numPr>
        <w:pStyle w:val="Compact"/>
      </w:pPr>
      <w:r>
        <w:rPr>
          <w:bCs/>
          <w:b/>
        </w:rPr>
        <w:t xml:space="preserve">Technological Integration:</w:t>
      </w:r>
      <w:r>
        <w:t xml:space="preserve"> </w:t>
      </w:r>
      <w:r>
        <w:t xml:space="preserve">Seamlessly incorporates digital tools to enhance learning experiences and cater to modern educational needs.</w:t>
      </w:r>
    </w:p>
    <w:bookmarkEnd w:id="30"/>
    <w:bookmarkStart w:id="31" w:name="Xda79409093af40bd3d15ed7d2a5582dbca223f1"/>
    <w:p>
      <w:pPr>
        <w:pStyle w:val="Heading2"/>
      </w:pPr>
      <w:r>
        <w:t xml:space="preserve">6. Areas for Improvement and Recommendations</w:t>
      </w:r>
    </w:p>
    <w:p>
      <w:pPr>
        <w:numPr>
          <w:ilvl w:val="0"/>
          <w:numId w:val="1003"/>
        </w:numPr>
        <w:pStyle w:val="Compact"/>
      </w:pPr>
      <w:r>
        <w:rPr>
          <w:bCs/>
          <w:b/>
        </w:rPr>
        <w:t xml:space="preserve">Extended Wait Time:</w:t>
      </w:r>
      <w:r>
        <w:t xml:space="preserve"> </w:t>
      </w:r>
      <w:r>
        <w:t xml:space="preserve">While questioning techniques are strong, increasing wait time after posing complex questions could allow for deeper reflection and more inclusive participation from quieter students.</w:t>
      </w:r>
    </w:p>
    <w:p>
      <w:pPr>
        <w:numPr>
          <w:ilvl w:val="0"/>
          <w:numId w:val="1003"/>
        </w:numPr>
        <w:pStyle w:val="Compact"/>
      </w:pPr>
      <w:r>
        <w:rPr>
          <w:bCs/>
          <w:b/>
        </w:rPr>
        <w:t xml:space="preserve">Peer Assessment:</w:t>
      </w:r>
      <w:r>
        <w:t xml:space="preserve"> </w:t>
      </w:r>
      <w:r>
        <w:t xml:space="preserve">Introducing structured peer assessment activities could further develop students' evaluative skills and reduce the teacher's grading load, promoting a collaborative learning community.</w:t>
      </w:r>
    </w:p>
    <w:p>
      <w:pPr>
        <w:numPr>
          <w:ilvl w:val="0"/>
          <w:numId w:val="1003"/>
        </w:numPr>
        <w:pStyle w:val="Compact"/>
      </w:pPr>
      <w:r>
        <w:rPr>
          <w:bCs/>
          <w:b/>
        </w:rPr>
        <w:t xml:space="preserve">Documentation of Differentiation:</w:t>
      </w:r>
      <w:r>
        <w:t xml:space="preserve"> </w:t>
      </w:r>
      <w:r>
        <w:t xml:space="preserve">While differentiation is evident in practice, maintaining more detailed records of specific adaptations for individual students would strengthen the documentation process for administrative review.</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 observed</w:t>
      </w:r>
      <w:r>
        <w:t xml:space="preserve"> </w:t>
      </w:r>
      <w:r>
        <w:rPr>
          <w:bCs/>
          <w:b/>
        </w:rPr>
        <w:t xml:space="preserve">Teacher Secondary</w:t>
      </w:r>
      <w:r>
        <w:t xml:space="preserve"> </w:t>
      </w:r>
      <w:r>
        <w:t xml:space="preserve">is performing at a high level of professional competence. The educator’s ability to connect with students, manage a dynamic classroom, and deliver rigorous content within the context of</w:t>
      </w:r>
      <w:r>
        <w:t xml:space="preserve"> </w:t>
      </w:r>
      <w:r>
        <w:rPr>
          <w:bCs/>
          <w:b/>
        </w:rPr>
        <w:t xml:space="preserve">Israel Tel Aviv</w:t>
      </w:r>
      <w:r>
        <w:t xml:space="preserve"> </w:t>
      </w:r>
      <w:r>
        <w:t xml:space="preserve">is commendable. The recommendations provided are intended to support the teacher’s ongoing professional journey and encourage the adoption of innovative practices that will further benefit the student body. It is recommended that this teacher be considered for leadership roles or mentorship opportunities within the school district.</w:t>
      </w:r>
    </w:p>
    <w:bookmarkEnd w:id="32"/>
    <w:p>
      <w:pPr>
        <w:pStyle w:val="BodyText"/>
      </w:pPr>
      <w:r>
        <w:rPr>
          <w:bCs/>
          <w:b/>
        </w:rPr>
        <w:t xml:space="preserve">Observer Signature:</w:t>
      </w:r>
    </w:p>
    <w:p>
      <w:pPr>
        <w:pStyle w:val="BodyText"/>
      </w:pPr>
      <w:r>
        <w:t xml:space="preserve">[Digital Signature]</w:t>
      </w:r>
    </w:p>
    <w:p>
      <w:pPr>
        <w:pStyle w:val="BodyText"/>
      </w:pPr>
      <w:r>
        <w:rPr>
          <w:bCs/>
          <w:b/>
        </w:rPr>
        <w:t xml:space="preserve">Name:</w:t>
      </w:r>
      <w:r>
        <w:t xml:space="preserve"> </w:t>
      </w:r>
      <w:r>
        <w:t xml:space="preserve">Dr. Sarah Cohen</w:t>
      </w:r>
    </w:p>
    <w:p>
      <w:pPr>
        <w:pStyle w:val="BodyText"/>
      </w:pPr>
      <w:r>
        <w:rPr>
          <w:bCs/>
          <w:b/>
        </w:rPr>
        <w:t xml:space="preserve">Title:</w:t>
      </w:r>
      <w:r>
        <w:t xml:space="preserve"> </w:t>
      </w:r>
      <w:r>
        <w:t xml:space="preserve">Senior Peer Reviewer</w:t>
      </w:r>
    </w:p>
    <w:p>
      <w:pPr>
        <w:pStyle w:val="BodyText"/>
      </w:pPr>
      <w:r>
        <w:rPr>
          <w:bCs/>
          <w:b/>
        </w:rPr>
        <w:t xml:space="preserve">Teacher Acknowledgment:</w:t>
      </w:r>
    </w:p>
    <w:p>
      <w:pPr>
        <w:pStyle w:val="BodyText"/>
      </w:pPr>
      <w:r>
        <w:t xml:space="preserve">[Digital Signature]</w:t>
      </w:r>
    </w:p>
    <w:p>
      <w:pPr>
        <w:pStyle w:val="BodyText"/>
      </w:pPr>
      <w:r>
        <w:rPr>
          <w:bCs/>
          <w:b/>
        </w:rPr>
        <w:t xml:space="preserve">Name:</w:t>
      </w:r>
      <w:r>
        <w:t xml:space="preserve"> </w:t>
      </w:r>
      <w:r>
        <w:t xml:space="preserve">[Teacher Name]</w:t>
      </w:r>
    </w:p>
    <w:p>
      <w:pPr>
        <w:pStyle w:val="BodyText"/>
      </w:pPr>
      <w:r>
        <w:rPr>
          <w:bCs/>
          <w:b/>
        </w:rPr>
        <w:t xml:space="preserve">Date:</w:t>
      </w:r>
      <w:r>
        <w:t xml:space="preserve"> </w:t>
      </w:r>
      <w:r>
        <w:t xml:space="preserve">_______________</w:t>
      </w:r>
    </w:p>
    <w:p>
      <w:pPr>
        <w:pStyle w:val="BodyText"/>
      </w:pPr>
      <w:r>
        <w:t xml:space="preserve">© 2023 Tel Aviv-Yafo Municipal Education Department. All rights reserved. Confidential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Secondary Education - Tel Aviv, Israel</dc:title>
  <dc:creator/>
  <dc:language>en</dc:language>
  <cp:keywords/>
  <dcterms:created xsi:type="dcterms:W3CDTF">2026-10-10T07:08:31Z</dcterms:created>
  <dcterms:modified xsi:type="dcterms:W3CDTF">2026-10-10T07:08:31Z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