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Kyoto,</w:t>
      </w:r>
      <w:r>
        <w:t xml:space="preserve"> </w:t>
      </w:r>
      <w:r>
        <w:t xml:space="preserve">Japan</w:t>
      </w:r>
    </w:p>
    <w:bookmarkStart w:id="26" w:name="peer-review-report-secondary-education"/>
    <w:p>
      <w:pPr>
        <w:pStyle w:val="Heading1"/>
      </w:pPr>
      <w:r>
        <w:t xml:space="preserve">Peer Review Report: Secondary Education</w:t>
      </w:r>
    </w:p>
    <w:p>
      <w:pPr>
        <w:pStyle w:val="FirstParagraph"/>
      </w:pPr>
      <w:r>
        <w:rPr>
          <w:bCs/>
          <w:b/>
        </w:rPr>
        <w:t xml:space="preserve">Location:</w:t>
      </w:r>
      <w:r>
        <w:t xml:space="preserve"> </w:t>
      </w:r>
      <w:r>
        <w:t xml:space="preserve">Kyoto, Japan</w:t>
      </w:r>
    </w:p>
    <w:p>
      <w:pPr>
        <w:pStyle w:val="BodyText"/>
      </w:pPr>
      <w:r>
        <w:rPr>
          <w:bCs/>
          <w:b/>
        </w:rPr>
        <w:t xml:space="preserve">Subject:</w:t>
      </w:r>
      <w:r>
        <w:t xml:space="preserve"> </w:t>
      </w:r>
      <w:r>
        <w:t xml:space="preserve">Teacher Secondary (Middle/High School Level)</w:t>
      </w:r>
    </w:p>
    <w:p>
      <w:pPr>
        <w:pStyle w:val="BodyText"/>
      </w:pPr>
      <w:r>
        <w:rPr>
          <w:bCs/>
          <w:b/>
        </w:rPr>
        <w:t xml:space="preserve">Date of Observation:</w:t>
      </w:r>
      <w:r>
        <w:t xml:space="preserve"> </w:t>
      </w:r>
      <w:r>
        <w:t xml:space="preserve">October 24, 2023</w:t>
      </w:r>
    </w:p>
    <w:p>
      <w:pPr>
        <w:pStyle w:val="BodyText"/>
      </w:pPr>
      <w:r>
        <w:rPr>
          <w:bCs/>
          <w:b/>
        </w:rPr>
        <w:t xml:space="preserve">Reviewer:</w:t>
      </w:r>
      <w:r>
        <w:t xml:space="preserve"> </w:t>
      </w:r>
      <w:r>
        <w:t xml:space="preserve">Senior Faculty Member, Department of Education</w:t>
      </w:r>
    </w:p>
    <w:p>
      <w:pPr>
        <w:pStyle w:val="BodyText"/>
      </w:pPr>
      <w:r>
        <w:rPr>
          <w:bCs/>
          <w:b/>
        </w:rPr>
        <w:t xml:space="preserve">Review Type:</w:t>
      </w:r>
      <w:r>
        <w:t xml:space="preserve"> </w:t>
      </w:r>
      <w:r>
        <w:t xml:space="preserve">Formative Evaluation &amp; Professional Development</w:t>
      </w:r>
    </w:p>
    <w:bookmarkStart w:id="20" w:name="introduction-and-context"/>
    <w:p>
      <w:pPr>
        <w:pStyle w:val="Heading2"/>
      </w:pPr>
      <w:r>
        <w:t xml:space="preserve">1. Introduction and Context</w:t>
      </w:r>
    </w:p>
    <w:p>
      <w:pPr>
        <w:pStyle w:val="FirstParagraph"/>
      </w:pPr>
      <w:r>
        <w:t xml:space="preserve">This Peer Review Report serves as a formal evaluation of instructional practices, classroom management, and cultural integration for a Teacher Secondary assigned to a school in Kyoto, Japan. The purpose of this review is to assess the educator's alignment with the Japanese Ministry of Education, Culture, Sports, Science and Technology (MEXT) standards while fostering an engaging, inclusive learning environment.</w:t>
      </w:r>
    </w:p>
    <w:p>
      <w:pPr>
        <w:pStyle w:val="BodyText"/>
      </w:pPr>
      <w:r>
        <w:t xml:space="preserve">Teaching in Kyoto presents unique challenges and opportunities. As a city steeped in history and tradition, the educational culture here emphasizes discipline, respect, and collective harmony (wa). However, there is also a growing demand for international perspectives and communicative language skills. This report evaluates how effectively the Teacher Secondary navigates this dual requirement, balancing the rigorous expectations of the Japanese secondary curriculum with modern pedagogical approaches.</w:t>
      </w:r>
    </w:p>
    <w:bookmarkEnd w:id="20"/>
    <w:bookmarkStart w:id="21" w:name="X2f54dc4e46d757d5b487a7b6e140caa57153e5c"/>
    <w:p>
      <w:pPr>
        <w:pStyle w:val="Heading2"/>
      </w:pPr>
      <w:r>
        <w:t xml:space="preserve">2. Instructional Planning and Curriculum Alignment</w:t>
      </w:r>
    </w:p>
    <w:p>
      <w:pPr>
        <w:pStyle w:val="FirstParagraph"/>
      </w:pPr>
      <w:r>
        <w:t xml:space="preserve">The Teacher Secondary demonstrates a strong commitment to lesson planning that aligns with the specific learning outcomes required for secondary students in Japan. The lesson plans reviewed for this period show a clear structure, including warm-up activities, direct instruction, guided practice, and independent work.</w:t>
      </w:r>
    </w:p>
    <w:p>
      <w:pPr>
        <w:pStyle w:val="BodyText"/>
      </w:pPr>
      <w:r>
        <w:t xml:space="preserve">A notable strength is the integration of local context into the curriculum. For example, when teaching language arts or social studies, the educator utilized Kyoto’s cultural heritage—such as the history of the Gion district or the significance of seasonal festivals—to make abstract concepts tangible for students. This approach not only enhances student engagement but also demonstrates respect for the local community, a vital aspect of teaching in Japan.</w:t>
      </w:r>
    </w:p>
    <w:p>
      <w:pPr>
        <w:pStyle w:val="BodyText"/>
      </w:pPr>
      <w:r>
        <w:t xml:space="preserve">However, there is room for improvement in differentiating instruction for mixed-ability classes, which are common in Japanese secondary schools. While the core content is delivered effectively, additional scaffolding strategies should be employed to support students who may struggle with the pace, ensuring that no student is left behind in the collective learning process.</w:t>
      </w:r>
    </w:p>
    <w:bookmarkEnd w:id="21"/>
    <w:bookmarkStart w:id="22" w:name="X24d85452bd41c453cddd6875293f2bb387d0d98"/>
    <w:p>
      <w:pPr>
        <w:pStyle w:val="Heading2"/>
      </w:pPr>
      <w:r>
        <w:t xml:space="preserve">3. Classroom Management and Student Engagement</w:t>
      </w:r>
    </w:p>
    <w:p>
      <w:pPr>
        <w:pStyle w:val="FirstParagraph"/>
      </w:pPr>
      <w:r>
        <w:t xml:space="preserve">Classroom management is a critical component of the Teacher Secondary role in Japan, where the concept of "seishuku" (guidance) is paramount. The educator under review maintains a calm, authoritative presence that commands respect without being authoritarian. This aligns well with the expectations of Japanese students and parents.</w:t>
      </w:r>
    </w:p>
    <w:p>
      <w:pPr>
        <w:pStyle w:val="BodyText"/>
      </w:pPr>
      <w:r>
        <w:t xml:space="preserve">The teacher successfully implements group work activities, encouraging students to collaborate and communicate. In the context of Kyoto’s educational environment, where students are often taught to value group consensus over individual expression, the Teacher Secondary has made commendable efforts to create a safe space for individual voices. This is evident in the increased participation rates observed during the review period.</w:t>
      </w:r>
    </w:p>
    <w:p>
      <w:pPr>
        <w:pStyle w:val="BodyText"/>
      </w:pPr>
      <w:r>
        <w:t xml:space="preserve">One area for development is the management of "silent" students. While silence is often culturally interpreted as respect or contemplation in Japan, it can sometimes mask a lack of understanding. The Teacher Secondary is encouraged to utilize more non-verbal checking strategies, such as exit tickets or digital polling, to gauge comprehension from students who are hesitant to speak up in front of their peers.</w:t>
      </w:r>
    </w:p>
    <w:bookmarkEnd w:id="22"/>
    <w:bookmarkStart w:id="23" w:name="X6445dbe071156486ac9537cca81e12705346f6a"/>
    <w:p>
      <w:pPr>
        <w:pStyle w:val="Heading2"/>
      </w:pPr>
      <w:r>
        <w:t xml:space="preserve">4. Cultural Sensitivity and Professional Conduct</w:t>
      </w:r>
    </w:p>
    <w:p>
      <w:pPr>
        <w:pStyle w:val="FirstParagraph"/>
      </w:pPr>
      <w:r>
        <w:t xml:space="preserve">Operating as a Teacher Secondary in Kyoto requires a high degree of cultural sensitivity. The educator has shown excellent adherence to professional etiquette, including punctuality, appropriate dress code, and respectful communication with colleagues and school administration.</w:t>
      </w:r>
    </w:p>
    <w:p>
      <w:pPr>
        <w:pStyle w:val="BodyText"/>
      </w:pPr>
      <w:r>
        <w:t xml:space="preserve">The teacher actively participates in school-wide events, such as the cultural festival (Bunkasai) and sports day (Undokai), which are integral to the Japanese school experience. This involvement fosters strong relationships with the local staff and builds trust with the community. Furthermore, the educator demonstrates an understanding of the hierarchical nature of Japanese society, showing appropriate deference to senior staff while maintaining a supportive relationship with students.</w:t>
      </w:r>
    </w:p>
    <w:p>
      <w:pPr>
        <w:pStyle w:val="BodyText"/>
      </w:pPr>
      <w:r>
        <w:t xml:space="preserve">It is recommended that the Teacher Secondary continue to deepen their understanding of the nuances of Japanese honorifics (keigo) when interacting with parents and local officials. Mastery of these linguistic subtleties will further enhance professional credibility and facilitate smoother communication in the Kyoto community.</w:t>
      </w:r>
    </w:p>
    <w:bookmarkEnd w:id="23"/>
    <w:bookmarkStart w:id="24" w:name="assessment-and-feedback"/>
    <w:p>
      <w:pPr>
        <w:pStyle w:val="Heading2"/>
      </w:pPr>
      <w:r>
        <w:t xml:space="preserve">5. Assessment and Feedback</w:t>
      </w:r>
    </w:p>
    <w:p>
      <w:pPr>
        <w:pStyle w:val="FirstParagraph"/>
      </w:pPr>
      <w:r>
        <w:t xml:space="preserve">The assessment strategies employed by the Teacher Secondary are varied and effective. The use of formative assessments, such as quizzes and class discussions, allows for real-time adjustments to instruction. Summative assessments are aligned with the grading standards of the school and provide a clear picture of student progress.</w:t>
      </w:r>
    </w:p>
    <w:p>
      <w:pPr>
        <w:pStyle w:val="BodyText"/>
      </w:pPr>
      <w:r>
        <w:t xml:space="preserve">Feedback provided to students is constructive and encouraging. In line with Japanese educational values, the teacher focuses on effort and improvement rather than solely on innate ability. This growth mindset approach is particularly beneficial for secondary students facing the high-pressure environment of university entrance examinations.</w:t>
      </w:r>
    </w:p>
    <w:p>
      <w:pPr>
        <w:pStyle w:val="BodyText"/>
      </w:pPr>
      <w:r>
        <w:t xml:space="preserve">To further enhance this area, the Teacher Secondary should consider providing more detailed written feedback on major assignments. While oral feedback is common, written comments can serve as a valuable reference for students and their parents, offering specific guidance on how to improve future performance.</w:t>
      </w:r>
    </w:p>
    <w:bookmarkEnd w:id="24"/>
    <w:bookmarkStart w:id="25" w:name="recommendations-and-conclusion"/>
    <w:p>
      <w:pPr>
        <w:pStyle w:val="Heading2"/>
      </w:pPr>
      <w:r>
        <w:t xml:space="preserve">6. Recommendations and Conclusion</w:t>
      </w:r>
    </w:p>
    <w:p>
      <w:pPr>
        <w:pStyle w:val="FirstParagraph"/>
      </w:pPr>
      <w:r>
        <w:t xml:space="preserve">Overall, the Teacher Secondary has demonstrated a high level of professionalism, dedication, and pedagogical skill. Their ability to adapt to the unique cultural and educational landscape of Kyoto, Japan, is commendable. They have successfully built a positive rapport with students and colleagues, contributing positively to the school community.</w:t>
      </w:r>
    </w:p>
    <w:p>
      <w:pPr>
        <w:pStyle w:val="BodyText"/>
      </w:pPr>
      <w:r>
        <w:t xml:space="preserve">Key recommendations for the upcoming term include:</w:t>
      </w:r>
    </w:p>
    <w:p>
      <w:pPr>
        <w:numPr>
          <w:ilvl w:val="0"/>
          <w:numId w:val="1001"/>
        </w:numPr>
        <w:pStyle w:val="Compact"/>
      </w:pPr>
      <w:r>
        <w:t xml:space="preserve">Implementing more differentiated instruction strategies to support diverse learning needs.</w:t>
      </w:r>
    </w:p>
    <w:p>
      <w:pPr>
        <w:numPr>
          <w:ilvl w:val="0"/>
          <w:numId w:val="1001"/>
        </w:numPr>
        <w:pStyle w:val="Compact"/>
      </w:pPr>
      <w:r>
        <w:t xml:space="preserve">Developing techniques to engage quieter students through non-verbal assessment methods.</w:t>
      </w:r>
    </w:p>
    <w:p>
      <w:pPr>
        <w:numPr>
          <w:ilvl w:val="0"/>
          <w:numId w:val="1001"/>
        </w:numPr>
        <w:pStyle w:val="Compact"/>
      </w:pPr>
      <w:r>
        <w:t xml:space="preserve">Continuing to refine Japanese language skills, particularly in professional and formal contexts.</w:t>
      </w:r>
    </w:p>
    <w:p>
      <w:pPr>
        <w:numPr>
          <w:ilvl w:val="0"/>
          <w:numId w:val="1001"/>
        </w:numPr>
        <w:pStyle w:val="Compact"/>
      </w:pPr>
      <w:r>
        <w:t xml:space="preserve">Increasing the depth of written feedback provided to students on major assessments.</w:t>
      </w:r>
    </w:p>
    <w:p>
      <w:pPr>
        <w:pStyle w:val="FirstParagraph"/>
      </w:pPr>
      <w:r>
        <w:t xml:space="preserve">This Peer Review Report concludes that the Teacher Secondary is performing at a satisfactory to excellent level. With continued professional development and a commitment to the recommendations outlined above, they are well-positioned to make an even greater impact on the students in Kyoto.</w:t>
      </w:r>
    </w:p>
    <w:p>
      <w:pPr>
        <w:pStyle w:val="BodyText"/>
      </w:pPr>
      <w:r>
        <w:rPr>
          <w:bCs/>
          <w:b/>
        </w:rPr>
        <w:t xml:space="preserve">Reviewer Signature:</w:t>
      </w:r>
    </w:p>
    <w:p>
      <w:pPr>
        <w:pStyle w:val="BodyText"/>
      </w:pPr>
      <w:r>
        <w:t xml:space="preserve">__________________________</w:t>
      </w:r>
    </w:p>
    <w:p>
      <w:pPr>
        <w:pStyle w:val="BodyText"/>
      </w:pPr>
      <w:r>
        <w:t xml:space="preserve">Senior Faculty Member</w:t>
      </w:r>
    </w:p>
    <w:p>
      <w:pPr>
        <w:pStyle w:val="BodyText"/>
      </w:pPr>
      <w:r>
        <w:rPr>
          <w:bCs/>
          <w:b/>
        </w:rPr>
        <w:t xml:space="preserve">Teacher Secondary Signature:</w:t>
      </w:r>
    </w:p>
    <w:p>
      <w:pPr>
        <w:pStyle w:val="BodyText"/>
      </w:pPr>
      <w:r>
        <w:t xml:space="preserve">__________________________</w:t>
      </w:r>
    </w:p>
    <w:p>
      <w:pPr>
        <w:pStyle w:val="BodyText"/>
      </w:pPr>
      <w:r>
        <w:t xml:space="preserve">Date: ______________________</w:t>
      </w:r>
    </w:p>
    <w:p>
      <w:pPr>
        <w:pStyle w:val="BodyText"/>
      </w:pPr>
      <w:r>
        <w:t xml:space="preserve">Confidential Document - For Internal Use Only - Kyoto Secondary Education District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Kyoto, Japan</dc:title>
  <dc:creator/>
  <dc:language>en</dc:language>
  <cp:keywords/>
  <dcterms:created xsi:type="dcterms:W3CDTF">2026-10-10T03:18:46Z</dcterms:created>
  <dcterms:modified xsi:type="dcterms:W3CDTF">2026-10-10T03:18:46Z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