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Japan</w:t>
      </w:r>
      <w:r>
        <w:t xml:space="preserve"> </w:t>
      </w:r>
      <w:r>
        <w:t xml:space="preserve">Osaka</w:t>
      </w:r>
    </w:p>
    <w:bookmarkStart w:id="20" w:name="peer-review-report"/>
    <w:p>
      <w:pPr>
        <w:pStyle w:val="Heading1"/>
      </w:pPr>
      <w:r>
        <w:t xml:space="preserve">Peer Review Report</w:t>
      </w:r>
    </w:p>
    <w:p>
      <w:pPr>
        <w:pStyle w:val="FirstParagraph"/>
      </w:pPr>
      <w:r>
        <w:t xml:space="preserve">Professional Evaluation of Instructional Practice</w:t>
      </w:r>
    </w:p>
    <w:p>
      <w:pPr>
        <w:pStyle w:val="BodyText"/>
      </w:pPr>
      <w:r>
        <w:rPr>
          <w:bCs/>
          <w:b/>
        </w:rPr>
        <w:t xml:space="preserve">Teacher Name:</w:t>
      </w:r>
      <w:r>
        <w:t xml:space="preserve"> </w:t>
      </w:r>
      <w:r>
        <w:t xml:space="preserve">[Insert Teacher Name]</w:t>
      </w:r>
    </w:p>
    <w:p>
      <w:pPr>
        <w:pStyle w:val="BodyText"/>
      </w:pPr>
      <w:r>
        <w:rPr>
          <w:bCs/>
          <w:b/>
        </w:rPr>
        <w:t xml:space="preserve">Role:</w:t>
      </w:r>
      <w:r>
        <w:t xml:space="preserve"> </w:t>
      </w:r>
      <w:r>
        <w:t xml:space="preserve">Teacher Secondary</w:t>
      </w:r>
    </w:p>
    <w:p>
      <w:pPr>
        <w:pStyle w:val="BodyText"/>
      </w:pPr>
      <w:r>
        <w:rPr>
          <w:bCs/>
          <w:b/>
        </w:rPr>
        <w:t xml:space="preserve">Subject:</w:t>
      </w:r>
      <w:r>
        <w:t xml:space="preserve"> </w:t>
      </w:r>
      <w:r>
        <w:t xml:space="preserve">[Insert Subject, e.g., English as a Foreign Language]</w:t>
      </w:r>
    </w:p>
    <w:p>
      <w:pPr>
        <w:pStyle w:val="BodyText"/>
      </w:pPr>
      <w:r>
        <w:rPr>
          <w:bCs/>
          <w:b/>
        </w:rPr>
        <w:t xml:space="preserve">Grade Level:</w:t>
      </w:r>
      <w:r>
        <w:t xml:space="preserve"> </w:t>
      </w:r>
      <w:r>
        <w:t xml:space="preserve">[Insert Grade, e.g., Junior High Year 2]</w:t>
      </w:r>
    </w:p>
    <w:p>
      <w:pPr>
        <w:pStyle w:val="BodyText"/>
      </w:pPr>
      <w:r>
        <w:rPr>
          <w:bCs/>
          <w:b/>
        </w:rPr>
        <w:t xml:space="preserve">Location:</w:t>
      </w:r>
      <w:r>
        <w:t xml:space="preserve"> </w:t>
      </w:r>
      <w:r>
        <w:t xml:space="preserve">Japan Osaka</w:t>
      </w:r>
    </w:p>
    <w:p>
      <w:pPr>
        <w:pStyle w:val="BodyText"/>
      </w:pPr>
      <w:r>
        <w:rPr>
          <w:bCs/>
          <w:b/>
        </w:rPr>
        <w:t xml:space="preserve">Date of Observation:</w:t>
      </w:r>
      <w:r>
        <w:t xml:space="preserve"> </w:t>
      </w:r>
      <w:r>
        <w:t xml:space="preserve">[Insert Date]</w:t>
      </w:r>
    </w:p>
    <w:p>
      <w:pPr>
        <w:pStyle w:val="BodyText"/>
      </w:pPr>
      <w:r>
        <w:rPr>
          <w:bCs/>
          <w:b/>
        </w:rPr>
        <w:t xml:space="preserve">Reviewer Name:</w:t>
      </w:r>
      <w:r>
        <w:t xml:space="preserve"> </w:t>
      </w:r>
      <w:r>
        <w:t xml:space="preserve">[Insert Reviewer Name]</w:t>
      </w:r>
    </w:p>
    <w:p>
      <w:pPr>
        <w:pStyle w:val="BodyText"/>
      </w:pPr>
      <w:r>
        <w:rPr>
          <w:bCs/>
          <w:b/>
        </w:rPr>
        <w:t xml:space="preserve">Duration:</w:t>
      </w:r>
      <w:r>
        <w:t xml:space="preserve"> </w:t>
      </w:r>
      <w:r>
        <w:t xml:space="preserve">[Insert Duration, e.g., 50 Minutes]</w:t>
      </w:r>
    </w:p>
    <w:bookmarkEnd w:id="20"/>
    <w:bookmarkStart w:id="21" w:name="introduction-and-context"/>
    <w:p>
      <w:pPr>
        <w:pStyle w:val="Heading2"/>
      </w:pPr>
      <w:r>
        <w:t xml:space="preserve">1. Introduction and Context</w:t>
      </w:r>
    </w:p>
    <w:p>
      <w:pPr>
        <w:pStyle w:val="FirstParagraph"/>
      </w:pPr>
      <w:r>
        <w:t xml:space="preserve">This</w:t>
      </w:r>
      <w:r>
        <w:t xml:space="preserve"> </w:t>
      </w:r>
      <w:r>
        <w:rPr>
          <w:bCs/>
          <w:b/>
        </w:rPr>
        <w:t xml:space="preserve">Peer Review Report</w:t>
      </w:r>
      <w:r>
        <w:t xml:space="preserve"> </w:t>
      </w:r>
      <w:r>
        <w:t xml:space="preserve">serves as a formal documentation of the instructional practices observed during a classroom session conducted by the designated</w:t>
      </w:r>
      <w:r>
        <w:t xml:space="preserve"> </w:t>
      </w:r>
      <w:r>
        <w:rPr>
          <w:bCs/>
          <w:b/>
        </w:rPr>
        <w:t xml:space="preserve">Teacher Secondary</w:t>
      </w:r>
      <w:r>
        <w:t xml:space="preserve">. The observation took place within the educational framework of</w:t>
      </w:r>
      <w:r>
        <w:t xml:space="preserve"> </w:t>
      </w:r>
      <w:r>
        <w:rPr>
          <w:bCs/>
          <w:b/>
        </w:rPr>
        <w:t xml:space="preserve">Japan Osaka</w:t>
      </w:r>
      <w:r>
        <w:t xml:space="preserve">, a region known for its rigorous academic standards and evolving pedagogical approaches. The primary objective of this review is to evaluate the teacher's alignment with the Ministry of Education, Culture, Sports, Science and Technology (MEXT) curriculum guidelines while assessing the integration of modern communicative language teaching methodologies.</w:t>
      </w:r>
    </w:p>
    <w:p>
      <w:pPr>
        <w:pStyle w:val="BodyText"/>
      </w:pPr>
      <w:r>
        <w:t xml:space="preserve">The context of this review is situated in a secondary school environment in Osaka, where the cultural emphasis on discipline, respect, and collective harmony significantly influences classroom dynamics. The</w:t>
      </w:r>
      <w:r>
        <w:t xml:space="preserve"> </w:t>
      </w:r>
      <w:r>
        <w:rPr>
          <w:bCs/>
          <w:b/>
        </w:rPr>
        <w:t xml:space="preserve">Teacher Secondary</w:t>
      </w:r>
      <w:r>
        <w:t xml:space="preserve"> </w:t>
      </w:r>
      <w:r>
        <w:t xml:space="preserve">was tasked with delivering a lesson that balanced traditional structural accuracy with the growing demand for practical communication skills among students. This report analyzes the lesson through the lenses of lesson planning, instructional delivery, classroom management, and cultural responsiveness specific to the Osaka educational landscape.</w:t>
      </w:r>
    </w:p>
    <w:bookmarkEnd w:id="21"/>
    <w:bookmarkStart w:id="22" w:name="lesson-planning-and-preparation"/>
    <w:p>
      <w:pPr>
        <w:pStyle w:val="Heading2"/>
      </w:pPr>
      <w:r>
        <w:t xml:space="preserve">2. Lesson Planning and Preparation</w:t>
      </w:r>
    </w:p>
    <w:p>
      <w:pPr>
        <w:pStyle w:val="FirstParagraph"/>
      </w:pPr>
      <w:r>
        <w:t xml:space="preserve">The</w:t>
      </w:r>
      <w:r>
        <w:t xml:space="preserve"> </w:t>
      </w:r>
      <w:r>
        <w:rPr>
          <w:bCs/>
          <w:b/>
        </w:rPr>
        <w:t xml:space="preserve">Teacher Secondary</w:t>
      </w:r>
      <w:r>
        <w:t xml:space="preserve"> </w:t>
      </w:r>
      <w:r>
        <w:t xml:space="preserve">demonstrated a high level of preparation, evident in the structured lesson plan provided prior to the observation. The objectives were clearly defined, measurable, and aligned with the specific learning outcomes required for the grade level in</w:t>
      </w:r>
      <w:r>
        <w:t xml:space="preserve"> </w:t>
      </w:r>
      <w:r>
        <w:rPr>
          <w:bCs/>
          <w:b/>
        </w:rPr>
        <w:t xml:space="preserve">Japan Osaka</w:t>
      </w:r>
      <w:r>
        <w:t xml:space="preserve">. The materials utilized were appropriate for the students' proficiency levels and incorporated a mix of digital resources and traditional textbooks, reflecting the technological integration prevalent in Osaka's modern schools.</w:t>
      </w:r>
    </w:p>
    <w:p>
      <w:pPr>
        <w:pStyle w:val="BodyText"/>
      </w:pPr>
      <w:r>
        <w:t xml:space="preserve">Notably, the lesson plan accounted for the specific linguistic challenges faced by Japanese secondary students, such as pronunciation difficulties and grammatical structures that differ significantly from Japanese syntax. The inclusion of visual aids and scaffolding techniques indicated a thoughtful approach to ensuring comprehension. However, the pacing of the initial activities suggested that the teacher may have underestimated the time required for students to transition between tasks, a common challenge in the structured environment of Japanese secondary education.</w:t>
      </w:r>
    </w:p>
    <w:bookmarkEnd w:id="22"/>
    <w:bookmarkStart w:id="23" w:name="instructional-delivery-and-methodology"/>
    <w:p>
      <w:pPr>
        <w:pStyle w:val="Heading2"/>
      </w:pPr>
      <w:r>
        <w:t xml:space="preserve">3. Instructional Delivery and Methodology</w:t>
      </w:r>
    </w:p>
    <w:p>
      <w:pPr>
        <w:pStyle w:val="FirstParagraph"/>
      </w:pPr>
      <w:r>
        <w:t xml:space="preserve">During the observation, the</w:t>
      </w:r>
      <w:r>
        <w:t xml:space="preserve"> </w:t>
      </w:r>
      <w:r>
        <w:rPr>
          <w:bCs/>
          <w:b/>
        </w:rPr>
        <w:t xml:space="preserve">Teacher Secondary</w:t>
      </w:r>
      <w:r>
        <w:t xml:space="preserve"> </w:t>
      </w:r>
      <w:r>
        <w:t xml:space="preserve">exhibited strong command of the subject matter and utilized a variety of instructional strategies. The teacher effectively employed the "Communicative Language Teaching" (CLT) approach, encouraging students to engage in pair work and group discussions. This is a critical aspect of modern pedagogy in</w:t>
      </w:r>
      <w:r>
        <w:t xml:space="preserve"> </w:t>
      </w:r>
      <w:r>
        <w:rPr>
          <w:bCs/>
          <w:b/>
        </w:rPr>
        <w:t xml:space="preserve">Japan Osaka</w:t>
      </w:r>
      <w:r>
        <w:t xml:space="preserve">, where there is a concerted effort to move beyond rote memorization toward active usage of language.</w:t>
      </w:r>
    </w:p>
    <w:p>
      <w:pPr>
        <w:pStyle w:val="BodyText"/>
      </w:pPr>
      <w:r>
        <w:t xml:space="preserve">The teacher's use of clear instructions and modeling was commendable. Recognizing the cultural tendency of Japanese students to be hesitant in speaking up due to fear of making mistakes, the</w:t>
      </w:r>
      <w:r>
        <w:t xml:space="preserve"> </w:t>
      </w:r>
      <w:r>
        <w:rPr>
          <w:bCs/>
          <w:b/>
        </w:rPr>
        <w:t xml:space="preserve">Teacher Secondary</w:t>
      </w:r>
      <w:r>
        <w:t xml:space="preserve"> </w:t>
      </w:r>
      <w:r>
        <w:t xml:space="preserve">created a supportive atmosphere that validated student attempts. The use of positive reinforcement was consistent and effective. Furthermore, the teacher successfully integrated local cultural references relevant to Osaka, which helped in making the content more relatable and engaging for the students. This localization of content is a best practice for educators working in this specific region.</w:t>
      </w:r>
    </w:p>
    <w:bookmarkEnd w:id="23"/>
    <w:bookmarkStart w:id="24" w:name="X24d85452bd41c453cddd6875293f2bb387d0d98"/>
    <w:p>
      <w:pPr>
        <w:pStyle w:val="Heading2"/>
      </w:pPr>
      <w:r>
        <w:t xml:space="preserve">4. Classroom Management and Student Engagement</w:t>
      </w:r>
    </w:p>
    <w:p>
      <w:pPr>
        <w:pStyle w:val="FirstParagraph"/>
      </w:pPr>
      <w:r>
        <w:t xml:space="preserve">Classroom management is a pivotal component of the</w:t>
      </w:r>
      <w:r>
        <w:t xml:space="preserve"> </w:t>
      </w:r>
      <w:r>
        <w:rPr>
          <w:bCs/>
          <w:b/>
        </w:rPr>
        <w:t xml:space="preserve">Peer Review Report</w:t>
      </w:r>
      <w:r>
        <w:t xml:space="preserve">, particularly in the context of a Japanese secondary school. The</w:t>
      </w:r>
      <w:r>
        <w:t xml:space="preserve"> </w:t>
      </w:r>
      <w:r>
        <w:rPr>
          <w:bCs/>
          <w:b/>
        </w:rPr>
        <w:t xml:space="preserve">Teacher Secondary</w:t>
      </w:r>
      <w:r>
        <w:t xml:space="preserve"> </w:t>
      </w:r>
      <w:r>
        <w:t xml:space="preserve">maintained a respectful and orderly environment, adhering to the cultural norms of</w:t>
      </w:r>
      <w:r>
        <w:t xml:space="preserve"> </w:t>
      </w:r>
      <w:r>
        <w:rPr>
          <w:bCs/>
          <w:b/>
        </w:rPr>
        <w:t xml:space="preserve">Japan Osaka</w:t>
      </w:r>
      <w:r>
        <w:t xml:space="preserve">. The teacher established clear expectations for behavior and participation, which were respected by the students. The transition between individual work, pair work, and whole-class discussion was managed smoothly, minimizing downtime and maintaining student focus.</w:t>
      </w:r>
    </w:p>
    <w:p>
      <w:pPr>
        <w:pStyle w:val="BodyText"/>
      </w:pPr>
      <w:r>
        <w:t xml:space="preserve">Student engagement levels were high throughout the lesson. The teacher utilized questioning techniques that ranged from lower-order recall questions to higher-order critical thinking prompts. This variety ensured that students of different ability levels were challenged appropriately. The teacher also demonstrated cultural sensitivity by understanding the concept of "wa" (harmony) and ensuring that group activities did not lead to exclusion or conflict. The ability to manage a large class size while fostering individual participation is a significant strength observed in this</w:t>
      </w:r>
      <w:r>
        <w:t xml:space="preserve"> </w:t>
      </w:r>
      <w:r>
        <w:rPr>
          <w:bCs/>
          <w:b/>
        </w:rPr>
        <w:t xml:space="preserve">Teacher Secondary</w:t>
      </w:r>
      <w:r>
        <w:t xml:space="preserve">.</w:t>
      </w:r>
    </w:p>
    <w:bookmarkEnd w:id="24"/>
    <w:bookmarkStart w:id="25" w:name="assessment-and-feedback"/>
    <w:p>
      <w:pPr>
        <w:pStyle w:val="Heading2"/>
      </w:pPr>
      <w:r>
        <w:t xml:space="preserve">5. Assessment and Feedback</w:t>
      </w:r>
    </w:p>
    <w:p>
      <w:pPr>
        <w:pStyle w:val="FirstParagraph"/>
      </w:pPr>
      <w:r>
        <w:t xml:space="preserve">The</w:t>
      </w:r>
      <w:r>
        <w:t xml:space="preserve"> </w:t>
      </w:r>
      <w:r>
        <w:rPr>
          <w:bCs/>
          <w:b/>
        </w:rPr>
        <w:t xml:space="preserve">Teacher Secondary</w:t>
      </w:r>
      <w:r>
        <w:t xml:space="preserve"> </w:t>
      </w:r>
      <w:r>
        <w:t xml:space="preserve">incorporated formative assessment strategies throughout the lesson. Observations of student work during activities allowed the teacher to provide immediate, constructive feedback. This real-time correction is essential for language acquisition and was handled tactfully to avoid discouraging students. The teacher also utilized exit tickets at the end of the lesson to gauge overall understanding, a practice that aligns with data-driven instruction trends in</w:t>
      </w:r>
      <w:r>
        <w:t xml:space="preserve"> </w:t>
      </w:r>
      <w:r>
        <w:rPr>
          <w:bCs/>
          <w:b/>
        </w:rPr>
        <w:t xml:space="preserve">Japan Osaka</w:t>
      </w:r>
      <w:r>
        <w:t xml:space="preserve">.</w:t>
      </w:r>
    </w:p>
    <w:p>
      <w:pPr>
        <w:pStyle w:val="BodyText"/>
      </w:pPr>
      <w:r>
        <w:t xml:space="preserve">Feedback was specific and actionable, focusing on both accuracy and fluency. The teacher encouraged peer feedback as well, fostering a collaborative learning environment. However, it was noted that some students relied heavily on the teacher for validation. Future lessons could benefit from strategies that further empower students to self-assess and rely on peer support, thereby increasing their autonomy.</w:t>
      </w:r>
    </w:p>
    <w:bookmarkEnd w:id="25"/>
    <w:bookmarkStart w:id="26" w:name="Xda79409093af40bd3d15ed7d2a5582dbca223f1"/>
    <w:p>
      <w:pPr>
        <w:pStyle w:val="Heading2"/>
      </w:pPr>
      <w:r>
        <w:t xml:space="preserve">6. Areas for Improvement and Recommendations</w:t>
      </w:r>
    </w:p>
    <w:p>
      <w:pPr>
        <w:pStyle w:val="FirstParagraph"/>
      </w:pPr>
      <w:r>
        <w:t xml:space="preserve">While the overall performance of the</w:t>
      </w:r>
      <w:r>
        <w:t xml:space="preserve"> </w:t>
      </w:r>
      <w:r>
        <w:rPr>
          <w:bCs/>
          <w:b/>
        </w:rPr>
        <w:t xml:space="preserve">Teacher Secondary</w:t>
      </w:r>
      <w:r>
        <w:t xml:space="preserve"> </w:t>
      </w:r>
      <w:r>
        <w:t xml:space="preserve">was exemplary, this</w:t>
      </w:r>
      <w:r>
        <w:t xml:space="preserve"> </w:t>
      </w:r>
      <w:r>
        <w:rPr>
          <w:bCs/>
          <w:b/>
        </w:rPr>
        <w:t xml:space="preserve">Peer Review Report</w:t>
      </w:r>
      <w:r>
        <w:t xml:space="preserve"> </w:t>
      </w:r>
      <w:r>
        <w:t xml:space="preserve">identifies a few areas for professional growth. First, the teacher should consider varying the grouping strategies more frequently to ensure that students interact with a wider range of peers, which can enhance social skills and language exposure. Second, while the integration of technology was present, there is an opportunity to leverage digital tools more deeply for interactive learning, such as using tablets for collaborative writing or speaking tasks, which is increasingly common in Osaka's forward-thinking schools.</w:t>
      </w:r>
    </w:p>
    <w:p>
      <w:pPr>
        <w:pStyle w:val="BodyText"/>
      </w:pPr>
      <w:r>
        <w:t xml:space="preserve">Additionally, the teacher could work on extending wait time after posing complex questions. In the context of</w:t>
      </w:r>
      <w:r>
        <w:t xml:space="preserve"> </w:t>
      </w:r>
      <w:r>
        <w:rPr>
          <w:bCs/>
          <w:b/>
        </w:rPr>
        <w:t xml:space="preserve">Japan Osaka</w:t>
      </w:r>
      <w:r>
        <w:t xml:space="preserve">, where students may take time to formulate responses in a second language, providing additional wait time can lead to more thoughtful and comprehensive answers. Finally, continuing professional development focused on differentiated instruction would be beneficial to better address the diverse learning needs within the classroom.</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Teacher Secondary</w:t>
      </w:r>
      <w:r>
        <w:t xml:space="preserve"> </w:t>
      </w:r>
      <w:r>
        <w:t xml:space="preserve">is a dedicated and effective educator who demonstrates a strong understanding of both pedagogical principles and the cultural nuances of</w:t>
      </w:r>
      <w:r>
        <w:t xml:space="preserve"> </w:t>
      </w:r>
      <w:r>
        <w:rPr>
          <w:bCs/>
          <w:b/>
        </w:rPr>
        <w:t xml:space="preserve">Japan Osaka</w:t>
      </w:r>
      <w:r>
        <w:t xml:space="preserve">. The teacher's ability to create a structured yet engaging learning environment, combined with their commitment to student success, makes them a valuable asset to the school community. By implementing the recommendations outlined in this report, the teacher can further refine their practice and continue to contribute to the high standards of education in Osaka.</w:t>
      </w:r>
    </w:p>
    <w:bookmarkEnd w:id="27"/>
    <w:p>
      <w:pPr>
        <w:pStyle w:val="BodyText"/>
      </w:pPr>
      <w:r>
        <w:t xml:space="preserve">Signature of Teacher Secondary</w:t>
      </w:r>
    </w:p>
    <w:p>
      <w:pPr>
        <w:pStyle w:val="BodyText"/>
      </w:pPr>
      <w:r>
        <w:t xml:space="preserve">Date: _______________</w:t>
      </w:r>
    </w:p>
    <w:p>
      <w:pPr>
        <w:pStyle w:val="BodyText"/>
      </w:pPr>
      <w:r>
        <w:t xml:space="preserve">Signature of Peer Reviewer</w:t>
      </w:r>
    </w:p>
    <w:p>
      <w:pPr>
        <w:pStyle w:val="BodyText"/>
      </w:pP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Secondary - Japan Osaka</dc:title>
  <dc:creator/>
  <dc:language>en</dc:language>
  <cp:keywords/>
  <dcterms:created xsi:type="dcterms:W3CDTF">2026-10-10T04:45:05Z</dcterms:created>
  <dcterms:modified xsi:type="dcterms:W3CDTF">2026-10-10T04:45:05Z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