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Secondary</w:t>
      </w:r>
      <w:r>
        <w:t xml:space="preserve"> </w:t>
      </w:r>
      <w:r>
        <w:t xml:space="preserve">Education</w:t>
      </w:r>
      <w:r>
        <w:t xml:space="preserve"> </w:t>
      </w:r>
      <w:r>
        <w:t xml:space="preserve">-</w:t>
      </w:r>
      <w:r>
        <w:t xml:space="preserve"> </w:t>
      </w:r>
      <w:r>
        <w:t xml:space="preserve">Tokyo,</w:t>
      </w:r>
      <w:r>
        <w:t xml:space="preserve"> </w:t>
      </w:r>
      <w:r>
        <w:t xml:space="preserve">Japan</w:t>
      </w:r>
    </w:p>
    <w:bookmarkStart w:id="34" w:name="peer-review-report-secondary-education"/>
    <w:p>
      <w:pPr>
        <w:pStyle w:val="Heading1"/>
      </w:pPr>
      <w:r>
        <w:t xml:space="preserve">Peer Review Report: Secondary Education</w:t>
      </w:r>
    </w:p>
    <w:p>
      <w:pPr>
        <w:pStyle w:val="FirstParagraph"/>
      </w:pPr>
      <w:r>
        <w:t xml:space="preserve">Teacher Name:</w:t>
      </w:r>
    </w:p>
    <w:p>
      <w:pPr>
        <w:pStyle w:val="BodyText"/>
      </w:pPr>
      <w:r>
        <w:t xml:space="preserve">[Insert Teacher Name]</w:t>
      </w:r>
    </w:p>
    <w:p>
      <w:pPr>
        <w:pStyle w:val="BodyText"/>
      </w:pPr>
      <w:r>
        <w:t xml:space="preserve">Subject Area:</w:t>
      </w:r>
    </w:p>
    <w:p>
      <w:pPr>
        <w:pStyle w:val="BodyText"/>
      </w:pPr>
      <w:r>
        <w:t xml:space="preserve">Secondary Curriculum (e.g., English, Math, Science)</w:t>
      </w:r>
    </w:p>
    <w:p>
      <w:pPr>
        <w:pStyle w:val="BodyText"/>
      </w:pPr>
      <w:r>
        <w:t xml:space="preserve">Grade Level:</w:t>
      </w:r>
    </w:p>
    <w:p>
      <w:pPr>
        <w:pStyle w:val="BodyText"/>
      </w:pPr>
      <w:r>
        <w:t xml:space="preserve">Junior/Senior High School</w:t>
      </w:r>
    </w:p>
    <w:p>
      <w:pPr>
        <w:pStyle w:val="BodyText"/>
      </w:pPr>
      <w:r>
        <w:t xml:space="preserve">Reviewer Name:</w:t>
      </w:r>
    </w:p>
    <w:p>
      <w:pPr>
        <w:pStyle w:val="BodyText"/>
      </w:pPr>
      <w:r>
        <w:t xml:space="preserve">[Insert Reviewer Name]</w:t>
      </w:r>
    </w:p>
    <w:p>
      <w:pPr>
        <w:pStyle w:val="BodyText"/>
      </w:pPr>
      <w:r>
        <w:t xml:space="preserve">Date of Observation:</w:t>
      </w:r>
    </w:p>
    <w:p>
      <w:pPr>
        <w:pStyle w:val="BodyText"/>
      </w:pPr>
      <w:r>
        <w:t xml:space="preserve">[Insert Date]</w:t>
      </w:r>
    </w:p>
    <w:p>
      <w:pPr>
        <w:pStyle w:val="BodyText"/>
      </w:pPr>
      <w:r>
        <w:t xml:space="preserve">Location:</w:t>
      </w:r>
    </w:p>
    <w:p>
      <w:pPr>
        <w:pStyle w:val="BodyText"/>
      </w:pPr>
      <w:r>
        <w:t xml:space="preserve">Tokyo, Japan</w:t>
      </w:r>
    </w:p>
    <w:bookmarkStart w:id="20" w:name="introduction-and-context"/>
    <w:p>
      <w:pPr>
        <w:pStyle w:val="Heading2"/>
      </w:pPr>
      <w:r>
        <w:t xml:space="preserve">1. Introduction and Context</w:t>
      </w:r>
    </w:p>
    <w:p>
      <w:pPr>
        <w:pStyle w:val="FirstParagraph"/>
      </w:pPr>
      <w:r>
        <w:t xml:space="preserve">This Peer Review Report serves as a formal evaluation of the instructional practices, classroom management, and professional conduct of the designated Teacher Secondary. The observation took place within the rigorous educational framework of Tokyo, Japan, a region known for its high academic standards and deep cultural emphasis on respect, discipline, and collective growth. The purpose of this review is to provide constructive feedback that aligns with both international best practices and the specific expectations of the Japanese secondary education system.</w:t>
      </w:r>
    </w:p>
    <w:p>
      <w:pPr>
        <w:pStyle w:val="BodyText"/>
      </w:pPr>
      <w:r>
        <w:t xml:space="preserve">The review focuses on the teacher's ability to facilitate learning for adolescents, manage a diverse classroom environment, and integrate cultural nuances specific to Tokyo schools. The assessment covers lesson planning, instructional delivery, student engagement, and the teacher's contribution to the broader school community.</w:t>
      </w:r>
    </w:p>
    <w:bookmarkEnd w:id="20"/>
    <w:bookmarkStart w:id="23" w:name="lesson-planning-and-preparation"/>
    <w:p>
      <w:pPr>
        <w:pStyle w:val="Heading2"/>
      </w:pPr>
      <w:r>
        <w:t xml:space="preserve">2. Lesson Planning and Preparation</w:t>
      </w:r>
    </w:p>
    <w:bookmarkStart w:id="21" w:name="alignment-with-curriculum-standards"/>
    <w:p>
      <w:pPr>
        <w:pStyle w:val="Heading3"/>
      </w:pPr>
      <w:r>
        <w:t xml:space="preserve">Alignment with Curriculum Standards</w:t>
      </w:r>
    </w:p>
    <w:p>
      <w:pPr>
        <w:pStyle w:val="FirstParagraph"/>
      </w:pPr>
      <w:r>
        <w:t xml:space="preserve">The Teacher Secondary demonstrated a strong understanding of the curriculum requirements. The lesson objectives were clearly defined and aligned with the learning outcomes expected for the specific grade level. In the context of Tokyo's competitive academic environment, the materials selected were appropriately challenging yet accessible. The teacher successfully balanced the need for rigorous content coverage with the necessity of ensuring student comprehension.</w:t>
      </w:r>
    </w:p>
    <w:bookmarkEnd w:id="21"/>
    <w:bookmarkStart w:id="22" w:name="resource-utilization"/>
    <w:p>
      <w:pPr>
        <w:pStyle w:val="Heading3"/>
      </w:pPr>
      <w:r>
        <w:t xml:space="preserve">Resource Utilization</w:t>
      </w:r>
    </w:p>
    <w:p>
      <w:pPr>
        <w:pStyle w:val="FirstParagraph"/>
      </w:pPr>
      <w:r>
        <w:t xml:space="preserve">Preparation was evident in the quality of the handouts, digital presentations, and visual aids used. The teacher effectively utilized technology, a growing priority in Japanese schools, to enhance the learning experience. The integration of bilingual resources (where applicable) showed a thoughtful approach to supporting students who may be navigating language barriers, a common scenario in international or bilingual settings in Tokyo.</w:t>
      </w:r>
    </w:p>
    <w:bookmarkEnd w:id="22"/>
    <w:bookmarkEnd w:id="23"/>
    <w:bookmarkStart w:id="26" w:name="instructional-delivery-and-pedagogy"/>
    <w:p>
      <w:pPr>
        <w:pStyle w:val="Heading2"/>
      </w:pPr>
      <w:r>
        <w:t xml:space="preserve">3. Instructional Delivery and Pedagogy</w:t>
      </w:r>
    </w:p>
    <w:bookmarkStart w:id="24" w:name="clarity-and-engagement"/>
    <w:p>
      <w:pPr>
        <w:pStyle w:val="Heading3"/>
      </w:pPr>
      <w:r>
        <w:t xml:space="preserve">Clarity and Engagement</w:t>
      </w:r>
    </w:p>
    <w:p>
      <w:pPr>
        <w:pStyle w:val="FirstParagraph"/>
      </w:pPr>
      <w:r>
        <w:t xml:space="preserve">The delivery of the lesson was articulate and well-paced. The Teacher Secondary employed a variety of instructional strategies, including direct instruction, guided practice, and collaborative group work. This variety is crucial in secondary education to maintain the attention of teenagers. The teacher's ability to explain complex concepts in a simplified manner was a notable strength.</w:t>
      </w:r>
    </w:p>
    <w:bookmarkEnd w:id="24"/>
    <w:bookmarkStart w:id="25" w:name="cultural-responsiveness"/>
    <w:p>
      <w:pPr>
        <w:pStyle w:val="Heading3"/>
      </w:pPr>
      <w:r>
        <w:t xml:space="preserve">Cultural Responsiveness</w:t>
      </w:r>
    </w:p>
    <w:p>
      <w:pPr>
        <w:pStyle w:val="FirstParagraph"/>
      </w:pPr>
      <w:r>
        <w:t xml:space="preserve">A critical aspect of teaching in Japan Tokyo is cultural responsiveness. The teacher demonstrated high cultural intelligence by respecting local customs and classroom norms. For instance, the teacher appropriately utilized the concept of "wa" (harmony) when managing group dynamics, ensuring that all students felt included and respected. The teacher also showed sensitivity to the hierarchical nature of Japanese society, maintaining a professional demeanor that commands respect without being authoritarian.</w:t>
      </w:r>
    </w:p>
    <w:bookmarkEnd w:id="25"/>
    <w:bookmarkEnd w:id="26"/>
    <w:bookmarkStart w:id="29" w:name="Xdb57f4d133158835ed7c47c56d6f3530e5cf88d"/>
    <w:p>
      <w:pPr>
        <w:pStyle w:val="Heading2"/>
      </w:pPr>
      <w:r>
        <w:t xml:space="preserve">4. Classroom Management and Student Interaction</w:t>
      </w:r>
    </w:p>
    <w:bookmarkStart w:id="27" w:name="behavioral-expectations"/>
    <w:p>
      <w:pPr>
        <w:pStyle w:val="Heading3"/>
      </w:pPr>
      <w:r>
        <w:t xml:space="preserve">Behavioral Expectations</w:t>
      </w:r>
    </w:p>
    <w:p>
      <w:pPr>
        <w:pStyle w:val="FirstParagraph"/>
      </w:pPr>
      <w:r>
        <w:t xml:space="preserve">Classroom management was exemplary. The teacher established clear expectations for behavior and academic conduct from the outset. In the Japanese context, where silence and order are often valued, the teacher successfully created a structured environment that allowed for focused learning. Transitions between activities were smooth and efficient, minimizing downtime and maximizing instructional time.</w:t>
      </w:r>
    </w:p>
    <w:bookmarkEnd w:id="27"/>
    <w:bookmarkStart w:id="28" w:name="student-engagement"/>
    <w:p>
      <w:pPr>
        <w:pStyle w:val="Heading3"/>
      </w:pPr>
      <w:r>
        <w:t xml:space="preserve">Student Engagement</w:t>
      </w:r>
    </w:p>
    <w:p>
      <w:pPr>
        <w:pStyle w:val="FirstParagraph"/>
      </w:pPr>
      <w:r>
        <w:t xml:space="preserve">The Teacher Secondary fostered an environment where students felt safe to express their ideas. While Japanese students can sometimes be reserved due to cultural norms regarding public speaking, the teacher used techniques such as "think-pair-share" to encourage participation. This approach allowed students to formulate their thoughts before sharing with the larger group, effectively bridging the gap between cultural reticence and active learning.</w:t>
      </w:r>
    </w:p>
    <w:bookmarkEnd w:id="28"/>
    <w:bookmarkEnd w:id="29"/>
    <w:bookmarkStart w:id="30" w:name="assessment-and-feedback"/>
    <w:p>
      <w:pPr>
        <w:pStyle w:val="Heading2"/>
      </w:pPr>
      <w:r>
        <w:t xml:space="preserve">5. Assessment and Feedback</w:t>
      </w:r>
    </w:p>
    <w:p>
      <w:pPr>
        <w:pStyle w:val="FirstParagraph"/>
      </w:pPr>
      <w:r>
        <w:t xml:space="preserve">The teacher utilized formative assessment strategies effectively throughout the lesson. Quick checks for understanding, such as questioning and exit tickets, allowed the teacher to gauge student progress in real-time. Feedback provided to students was specific, actionable, and encouraging. The teacher emphasized growth and improvement, aligning with the Japanese educational value of continuous self-improvement ("kaizen").</w:t>
      </w:r>
    </w:p>
    <w:bookmarkEnd w:id="30"/>
    <w:bookmarkStart w:id="31" w:name="professionalism-and-collaboration"/>
    <w:p>
      <w:pPr>
        <w:pStyle w:val="Heading2"/>
      </w:pPr>
      <w:r>
        <w:t xml:space="preserve">6. Professionalism and Collaboration</w:t>
      </w:r>
    </w:p>
    <w:p>
      <w:pPr>
        <w:pStyle w:val="FirstParagraph"/>
      </w:pPr>
      <w:r>
        <w:t xml:space="preserve">Beyond the classroom, the Teacher Secondary exhibited a high level of professionalism. The teacher maintained open lines of communication with colleagues and administration, contributing positively to the school's collaborative culture. In Tokyo, where school communities are tight-knit, the teacher's willingness to participate in school events and staff meetings was noted as a significant asset. The teacher also demonstrated a commitment to professional development, actively seeking opportunities to refine their skills and stay current with educational trends.</w:t>
      </w:r>
    </w:p>
    <w:bookmarkEnd w:id="31"/>
    <w:bookmarkStart w:id="32" w:name="areas-for-growth-and-recommendations"/>
    <w:p>
      <w:pPr>
        <w:pStyle w:val="Heading2"/>
      </w:pPr>
      <w:r>
        <w:t xml:space="preserve">7. Areas for Growth and Recommendations</w:t>
      </w:r>
    </w:p>
    <w:p>
      <w:pPr>
        <w:pStyle w:val="FirstParagraph"/>
      </w:pPr>
      <w:r>
        <w:t xml:space="preserve">While the performance was largely commendable, there are areas for further development:</w:t>
      </w:r>
    </w:p>
    <w:p>
      <w:pPr>
        <w:numPr>
          <w:ilvl w:val="0"/>
          <w:numId w:val="1001"/>
        </w:numPr>
        <w:pStyle w:val="Compact"/>
      </w:pPr>
      <w:r>
        <w:rPr>
          <w:bCs/>
          <w:b/>
        </w:rPr>
        <w:t xml:space="preserve">Differentiation:</w:t>
      </w:r>
      <w:r>
        <w:t xml:space="preserve"> </w:t>
      </w:r>
      <w:r>
        <w:t xml:space="preserve">Further strategies could be implemented to address the wide range of abilities within the class, ensuring that advanced students are sufficiently challenged while struggling students receive adequate support.</w:t>
      </w:r>
    </w:p>
    <w:p>
      <w:pPr>
        <w:numPr>
          <w:ilvl w:val="0"/>
          <w:numId w:val="1001"/>
        </w:numPr>
        <w:pStyle w:val="Compact"/>
      </w:pPr>
      <w:r>
        <w:rPr>
          <w:bCs/>
          <w:b/>
        </w:rPr>
        <w:t xml:space="preserve">Student-Led Inquiry:</w:t>
      </w:r>
      <w:r>
        <w:t xml:space="preserve"> </w:t>
      </w:r>
      <w:r>
        <w:t xml:space="preserve">Encouraging more student-led inquiry and critical thinking could help students develop the independent problem-solving skills increasingly valued in modern Japanese education.</w:t>
      </w:r>
    </w:p>
    <w:p>
      <w:pPr>
        <w:numPr>
          <w:ilvl w:val="0"/>
          <w:numId w:val="1001"/>
        </w:numPr>
        <w:pStyle w:val="Compact"/>
      </w:pPr>
      <w:r>
        <w:rPr>
          <w:bCs/>
          <w:b/>
        </w:rPr>
        <w:t xml:space="preserve">Language Nuance:</w:t>
      </w:r>
      <w:r>
        <w:t xml:space="preserve"> </w:t>
      </w:r>
      <w:r>
        <w:t xml:space="preserve">If teaching in a bilingual context, further refinement of Japanese language proficiency regarding educational terminology could enhance communication with local staff and parents.</w:t>
      </w:r>
    </w:p>
    <w:bookmarkEnd w:id="32"/>
    <w:bookmarkStart w:id="33" w:name="conclusion"/>
    <w:p>
      <w:pPr>
        <w:pStyle w:val="Heading2"/>
      </w:pPr>
      <w:r>
        <w:t xml:space="preserve">8. Conclusion</w:t>
      </w:r>
    </w:p>
    <w:p>
      <w:pPr>
        <w:pStyle w:val="FirstParagraph"/>
      </w:pPr>
      <w:r>
        <w:t xml:space="preserve">In conclusion, the Teacher Secondary has demonstrated a high level of competence, dedication, and cultural awareness. The teacher's ability to navigate the unique educational landscape of Tokyo, Japan, while delivering high-quality instruction, is a testament to their professional capability. This Peer Review Report confirms that the teacher is meeting the standards required for secondary education in this region and is making a positive impact on student learning and development. Continued focus on the recommended areas for growth will further enhance their effectiveness as an educator.</w:t>
      </w:r>
    </w:p>
    <w:p>
      <w:pPr>
        <w:pStyle w:val="BodyText"/>
      </w:pPr>
      <w:r>
        <w:rPr>
          <w:bCs/>
          <w:b/>
        </w:rPr>
        <w:t xml:space="preserve">Reviewer Signature:</w:t>
      </w:r>
      <w:r>
        <w:br/>
      </w:r>
      <w:r>
        <w:t xml:space="preserve">__________________________</w:t>
      </w:r>
      <w:r>
        <w:br/>
      </w:r>
      <w:r>
        <w:t xml:space="preserve">[Date]</w:t>
      </w:r>
    </w:p>
    <w:p>
      <w:pPr>
        <w:pStyle w:val="BodyText"/>
      </w:pPr>
      <w:r>
        <w:rPr>
          <w:bCs/>
          <w:b/>
        </w:rPr>
        <w:t xml:space="preserve">Teacher Signature:</w:t>
      </w:r>
      <w:r>
        <w:br/>
      </w:r>
      <w:r>
        <w:t xml:space="preserve">__________________________</w:t>
      </w:r>
      <w:r>
        <w:br/>
      </w:r>
      <w:r>
        <w:t xml:space="preserve">[Date]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Secondary Education - Tokyo, Japan</dc:title>
  <dc:creator/>
  <dc:language>en</dc:language>
  <cp:keywords/>
  <dcterms:created xsi:type="dcterms:W3CDTF">2026-10-10T02:02:55Z</dcterms:created>
  <dcterms:modified xsi:type="dcterms:W3CDTF">2026-10-10T02:02:55Z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