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Kenya</w:t>
      </w:r>
      <w:r>
        <w:t xml:space="preserve"> </w:t>
      </w:r>
      <w:r>
        <w:t xml:space="preserve">Nairobi</w:t>
      </w:r>
    </w:p>
    <w:bookmarkStart w:id="29" w:name="peer-review-report-teacher-secondary"/>
    <w:p>
      <w:pPr>
        <w:pStyle w:val="Heading1"/>
      </w:pPr>
      <w:r>
        <w:t xml:space="preserve">Peer Review Report: Teacher Secondary</w:t>
      </w:r>
    </w:p>
    <w:p>
      <w:pPr>
        <w:pStyle w:val="FirstParagraph"/>
      </w:pPr>
      <w:r>
        <w:rPr>
          <w:bCs/>
          <w:b/>
        </w:rPr>
        <w:t xml:space="preserve">Teacher Under Review</w:t>
      </w:r>
      <w:r>
        <w:t xml:space="preserve"> </w:t>
      </w:r>
      <w:r>
        <w:t xml:space="preserve">Mr. James Kariuki (Example)</w:t>
      </w:r>
      <w:r>
        <w:t xml:space="preserve"> </w:t>
      </w:r>
      <w:r>
        <w:rPr>
          <w:bCs/>
          <w:b/>
        </w:rPr>
        <w:t xml:space="preserve">Subject Specialization</w:t>
      </w:r>
      <w:r>
        <w:t xml:space="preserve"> </w:t>
      </w:r>
      <w:r>
        <w:t xml:space="preserve">Chemistry / Mathematics</w:t>
      </w:r>
      <w:r>
        <w:t xml:space="preserve"> </w:t>
      </w:r>
      <w:r>
        <w:rPr>
          <w:bCs/>
          <w:b/>
        </w:rPr>
        <w:t xml:space="preserve">Grade Level</w:t>
      </w:r>
      <w:r>
        <w:t xml:space="preserve"> </w:t>
      </w:r>
      <w:r>
        <w:t xml:space="preserve">Form 1 - Form 4</w:t>
      </w:r>
    </w:p>
    <w:p>
      <w:pPr>
        <w:pStyle w:val="BodyText"/>
      </w:pPr>
      <w:r>
        <w:rPr>
          <w:bCs/>
          <w:b/>
        </w:rPr>
        <w:t xml:space="preserve">Reviewing Peer</w:t>
      </w:r>
      <w:r>
        <w:t xml:space="preserve"> </w:t>
      </w:r>
      <w:r>
        <w:t xml:space="preserve">Mrs. Sarah Omondi (Example)</w:t>
      </w:r>
      <w:r>
        <w:t xml:space="preserve"> </w:t>
      </w:r>
      <w:r>
        <w:rPr>
          <w:bCs/>
          <w:b/>
        </w:rPr>
        <w:t xml:space="preserve">School Location</w:t>
      </w:r>
      <w:r>
        <w:t xml:space="preserve"> </w:t>
      </w:r>
      <w:r>
        <w:t xml:space="preserve">Nairobi, Kenya</w:t>
      </w:r>
      <w:r>
        <w:t xml:space="preserve"> </w:t>
      </w:r>
      <w:r>
        <w:rPr>
          <w:bCs/>
          <w:b/>
        </w:rPr>
        <w:t xml:space="preserve">Date of Observation</w:t>
      </w:r>
      <w:r>
        <w:t xml:space="preserve"> </w:t>
      </w:r>
      <w:r>
        <w:t xml:space="preserve">October 24, 2023</w:t>
      </w:r>
    </w:p>
    <w:p>
      <w:pPr>
        <w:pStyle w:val="BodyText"/>
      </w:pPr>
      <w:r>
        <w:rPr>
          <w:bCs/>
          <w:b/>
        </w:rPr>
        <w:t xml:space="preserve">Introduction:</w:t>
      </w:r>
    </w:p>
    <w:p>
      <w:pPr>
        <w:pStyle w:val="BodyText"/>
      </w:pPr>
      <w:r>
        <w:t xml:space="preserve">This Peer Review Report is designed to evaluate the professional performance of a Teacher Secondary within the context of the Kenyan education system, specifically focusing on the urban educational environment of Nairobi. The purpose of this review is to provide constructive feedback, identify areas of excellence, and suggest strategies for professional growth in alignment with the Competency-Based Curriculum (CBC) and the Kenya Institute of Curriculum Development (KICD) guidelines. The review focuses on pedagogical content knowledge, classroom management, learner engagement, and adherence to the Teachers Service Commission (TSC) code of conduct.</w:t>
      </w:r>
    </w:p>
    <w:bookmarkStart w:id="20" w:name="lesson-planning-and-preparation"/>
    <w:p>
      <w:pPr>
        <w:pStyle w:val="Heading2"/>
      </w:pPr>
      <w:r>
        <w:t xml:space="preserve">1. Lesson Planning and Preparation</w:t>
      </w:r>
    </w:p>
    <w:p>
      <w:pPr>
        <w:pStyle w:val="FirstParagraph"/>
      </w:pPr>
      <w:r>
        <w:t xml:space="preserve">The teacher demonstrated a high level of preparation. The lesson plan was aligned with the approved syllabus for the specific secondary school subject. Objectives were clearly stated, measurable, and relevant to the learners' current level of understanding. The integration of local context—specifically referencing examples relevant to Nairobi students—was evident, which helped in making abstract concepts more relatable. Resources, including charts, practical apparatus, and digital aids, were prepared in advance, ensuring a smooth flow of the lesson.</w:t>
      </w:r>
    </w:p>
    <w:bookmarkEnd w:id="20"/>
    <w:bookmarkStart w:id="21" w:name="content-knowledge-and-delivery"/>
    <w:p>
      <w:pPr>
        <w:pStyle w:val="Heading2"/>
      </w:pPr>
      <w:r>
        <w:t xml:space="preserve">2. Content Knowledge and Delivery</w:t>
      </w:r>
    </w:p>
    <w:p>
      <w:pPr>
        <w:pStyle w:val="FirstParagraph"/>
      </w:pPr>
      <w:r>
        <w:t xml:space="preserve">The Teacher Secondary displayed a robust command of the subject matter. Explanations were clear, concise, and accurate. The teacher effectively bridged the gap between theoretical concepts and practical application, a critical skill in secondary education. The pacing of the lesson was appropriate for the Nairobi secondary school context, balancing the need to cover the syllabus with the need for deep understanding. The teacher utilized a variety of instructional strategies, including direct instruction, group discussions, and inquiry-based learning, catering to diverse learning styles.</w:t>
      </w:r>
    </w:p>
    <w:bookmarkEnd w:id="21"/>
    <w:bookmarkStart w:id="22" w:name="classroom-management-and-discipline"/>
    <w:p>
      <w:pPr>
        <w:pStyle w:val="Heading2"/>
      </w:pPr>
      <w:r>
        <w:t xml:space="preserve">3. Classroom Management and Discipline</w:t>
      </w:r>
    </w:p>
    <w:p>
      <w:pPr>
        <w:pStyle w:val="FirstParagraph"/>
      </w:pPr>
      <w:r>
        <w:t xml:space="preserve">Classroom management was effective and consistent. The teacher established a positive learning environment where students felt safe to express their ideas. Discipline was maintained through positive reinforcement rather than punitive measures, aligning with modern educational best practices in Kenya. The teacher managed the large class size typical of Nairobi secondary schools efficiently, ensuring that all students were engaged and that disruptions were minimized. Clear expectations for behavior were communicated and enforced fairly.</w:t>
      </w:r>
    </w:p>
    <w:bookmarkEnd w:id="22"/>
    <w:bookmarkStart w:id="23" w:name="learner-engagement-and-interaction"/>
    <w:p>
      <w:pPr>
        <w:pStyle w:val="Heading2"/>
      </w:pPr>
      <w:r>
        <w:t xml:space="preserve">4. Learner Engagement and Interaction</w:t>
      </w:r>
    </w:p>
    <w:p>
      <w:pPr>
        <w:pStyle w:val="FirstParagraph"/>
      </w:pPr>
      <w:r>
        <w:t xml:space="preserve">Student engagement was high throughout the lesson. The teacher used questioning techniques effectively to stimulate critical thinking and problem-solving skills. Questions ranged from lower-order recall questions to higher-order analytical questions. The teacher encouraged participation from all students, including those who are typically quiet, ensuring inclusivity. Group work was well-structured, with clear roles assigned to students, fostering collaboration and peer learning. The teacher moved around the classroom, monitoring group activities and providing timely feedback.</w:t>
      </w:r>
    </w:p>
    <w:bookmarkEnd w:id="23"/>
    <w:bookmarkStart w:id="24" w:name="assessment-and-feedback"/>
    <w:p>
      <w:pPr>
        <w:pStyle w:val="Heading2"/>
      </w:pPr>
      <w:r>
        <w:t xml:space="preserve">5. Assessment and Feedback</w:t>
      </w:r>
    </w:p>
    <w:p>
      <w:pPr>
        <w:pStyle w:val="FirstParagraph"/>
      </w:pPr>
      <w:r>
        <w:t xml:space="preserve">Formative assessment was integrated seamlessly into the lesson. The teacher used quizzes, exit tickets, and observation to gauge student understanding in real-time. Feedback provided to students was specific, actionable, and encouraging. The teacher demonstrated an understanding of the importance of continuous assessment in the Kenyan secondary school system and used assessment data to adjust instruction accordingly. The teacher also emphasized the importance of self-assessment and peer assessment, empowering students to take ownership of their learning.</w:t>
      </w:r>
    </w:p>
    <w:bookmarkEnd w:id="24"/>
    <w:bookmarkStart w:id="25" w:name="professionalism-and-ethics"/>
    <w:p>
      <w:pPr>
        <w:pStyle w:val="Heading2"/>
      </w:pPr>
      <w:r>
        <w:t xml:space="preserve">6. Professionalism and Ethics</w:t>
      </w:r>
    </w:p>
    <w:p>
      <w:pPr>
        <w:pStyle w:val="FirstParagraph"/>
      </w:pPr>
      <w:r>
        <w:t xml:space="preserve">The teacher exhibited a high level of professionalism. Punctuality, neat appearance, and respectful interaction with students and colleagues were observed. The teacher adhered to the TSC code of conduct and demonstrated a commitment to continuous professional development. The teacher showed a genuine care for the well-being of the students, creating a supportive and nurturing environment.</w:t>
      </w:r>
    </w:p>
    <w:bookmarkEnd w:id="25"/>
    <w:bookmarkStart w:id="26" w:name="areas-for-improvement"/>
    <w:p>
      <w:pPr>
        <w:pStyle w:val="Heading2"/>
      </w:pPr>
      <w:r>
        <w:t xml:space="preserve">7. Areas for Improvement</w:t>
      </w:r>
    </w:p>
    <w:p>
      <w:pPr>
        <w:pStyle w:val="FirstParagraph"/>
      </w:pPr>
      <w:r>
        <w:t xml:space="preserve">While the overall performance was excellent, there are areas for further development:</w:t>
      </w:r>
    </w:p>
    <w:p>
      <w:pPr>
        <w:numPr>
          <w:ilvl w:val="0"/>
          <w:numId w:val="1001"/>
        </w:numPr>
        <w:pStyle w:val="Compact"/>
      </w:pPr>
      <w:r>
        <w:rPr>
          <w:bCs/>
          <w:b/>
        </w:rPr>
        <w:t xml:space="preserve">Technology Integration:</w:t>
      </w:r>
      <w:r>
        <w:t xml:space="preserve"> </w:t>
      </w:r>
      <w:r>
        <w:t xml:space="preserve">While some digital tools were used, there is an opportunity to further integrate technology to enhance learning, such as using educational apps or online simulations.</w:t>
      </w:r>
    </w:p>
    <w:p>
      <w:pPr>
        <w:numPr>
          <w:ilvl w:val="0"/>
          <w:numId w:val="1001"/>
        </w:numPr>
        <w:pStyle w:val="Compact"/>
      </w:pPr>
      <w:r>
        <w:rPr>
          <w:bCs/>
          <w:b/>
        </w:rPr>
        <w:t xml:space="preserve">Differentiation:</w:t>
      </w:r>
      <w:r>
        <w:t xml:space="preserve"> </w:t>
      </w:r>
      <w:r>
        <w:t xml:space="preserve">Further differentiation strategies could be employed to better support learners with varying abilities, ensuring that advanced learners are challenged and struggling learners receive adequate support.</w:t>
      </w:r>
    </w:p>
    <w:p>
      <w:pPr>
        <w:numPr>
          <w:ilvl w:val="0"/>
          <w:numId w:val="1001"/>
        </w:numPr>
        <w:pStyle w:val="Compact"/>
      </w:pPr>
      <w:r>
        <w:rPr>
          <w:bCs/>
          <w:b/>
        </w:rPr>
        <w:t xml:space="preserve">Time Management:</w:t>
      </w:r>
      <w:r>
        <w:t xml:space="preserve"> </w:t>
      </w:r>
      <w:r>
        <w:t xml:space="preserve">In some instances, the lesson ran slightly over time. Better time management during group activities could ensure that all planned objectives are met within the allocated period.</w:t>
      </w:r>
    </w:p>
    <w:bookmarkEnd w:id="26"/>
    <w:bookmarkStart w:id="27" w:name="overall-rating"/>
    <w:p>
      <w:pPr>
        <w:pStyle w:val="Heading2"/>
      </w:pPr>
      <w:r>
        <w:t xml:space="preserve">8. Overall Rating</w:t>
      </w:r>
    </w:p>
    <w:p>
      <w:pPr>
        <w:pStyle w:val="FirstParagraph"/>
      </w:pPr>
      <w:r>
        <w:t xml:space="preserve">Rating Scale: 1 (Unsatisfactory) - 2 (Needs Improvement) - 3 (Proficient) - 4 (Exemplary)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w:t>
            </w:r>
          </w:p>
        </w:tc>
      </w:tr>
      <w:tr>
        <w:tc>
          <w:tcPr/>
          <w:p>
            <w:pPr>
              <w:pStyle w:val="Compact"/>
              <w:jc w:val="left"/>
            </w:pPr>
            <w:r>
              <w:t xml:space="preserve">Lesson Planning and Preparation</w:t>
            </w:r>
          </w:p>
        </w:tc>
        <w:tc>
          <w:tcPr/>
          <w:p>
            <w:pPr>
              <w:pStyle w:val="Compact"/>
              <w:jc w:val="left"/>
            </w:pPr>
            <w:r>
              <w:t xml:space="preserve">4</w:t>
            </w:r>
          </w:p>
        </w:tc>
      </w:tr>
      <w:tr>
        <w:tc>
          <w:tcPr/>
          <w:p>
            <w:pPr>
              <w:pStyle w:val="Compact"/>
              <w:jc w:val="left"/>
            </w:pPr>
            <w:r>
              <w:t xml:space="preserve">Content Knowledge and Delivery</w:t>
            </w:r>
          </w:p>
        </w:tc>
        <w:tc>
          <w:tcPr/>
          <w:p>
            <w:pPr>
              <w:pStyle w:val="Compact"/>
              <w:jc w:val="left"/>
            </w:pPr>
            <w:r>
              <w:t xml:space="preserve">4</w:t>
            </w:r>
          </w:p>
        </w:tc>
      </w:tr>
      <w:tr>
        <w:tc>
          <w:tcPr/>
          <w:p>
            <w:pPr>
              <w:pStyle w:val="Compact"/>
              <w:jc w:val="left"/>
            </w:pPr>
            <w:r>
              <w:t xml:space="preserve">Classroom Management</w:t>
            </w:r>
          </w:p>
        </w:tc>
        <w:tc>
          <w:tcPr/>
          <w:p>
            <w:pPr>
              <w:pStyle w:val="Compact"/>
              <w:jc w:val="left"/>
            </w:pPr>
            <w:r>
              <w:t xml:space="preserve">4</w:t>
            </w:r>
          </w:p>
        </w:tc>
      </w:tr>
      <w:tr>
        <w:tc>
          <w:tcPr/>
          <w:p>
            <w:pPr>
              <w:pStyle w:val="Compact"/>
              <w:jc w:val="left"/>
            </w:pPr>
            <w:r>
              <w:t xml:space="preserve">Learner Engagement</w:t>
            </w:r>
          </w:p>
        </w:tc>
        <w:tc>
          <w:tcPr/>
          <w:p>
            <w:pPr>
              <w:pStyle w:val="Compact"/>
              <w:jc w:val="left"/>
            </w:pPr>
            <w:r>
              <w:t xml:space="preserve">4</w:t>
            </w:r>
          </w:p>
        </w:tc>
      </w:tr>
      <w:tr>
        <w:tc>
          <w:tcPr/>
          <w:p>
            <w:pPr>
              <w:pStyle w:val="Compact"/>
              <w:jc w:val="left"/>
            </w:pPr>
            <w:r>
              <w:t xml:space="preserve">Assessment and Feedback</w:t>
            </w:r>
          </w:p>
        </w:tc>
        <w:tc>
          <w:tcPr/>
          <w:p>
            <w:pPr>
              <w:pStyle w:val="Compact"/>
              <w:jc w:val="left"/>
            </w:pPr>
            <w:r>
              <w:t xml:space="preserve">3</w:t>
            </w:r>
          </w:p>
        </w:tc>
      </w:tr>
      <w:tr>
        <w:tc>
          <w:tcPr/>
          <w:p>
            <w:pPr>
              <w:pStyle w:val="Compact"/>
              <w:jc w:val="left"/>
            </w:pPr>
            <w:r>
              <w:t xml:space="preserve">Professionalism</w:t>
            </w:r>
          </w:p>
        </w:tc>
        <w:tc>
          <w:tcPr/>
          <w:p>
            <w:pPr>
              <w:pStyle w:val="Compact"/>
              <w:jc w:val="left"/>
            </w:pPr>
            <w:r>
              <w:t xml:space="preserve">4</w:t>
            </w:r>
          </w:p>
        </w:tc>
      </w:tr>
      <w:tr>
        <w:tc>
          <w:tcPr/>
          <w:p>
            <w:pPr>
              <w:pStyle w:val="Compact"/>
              <w:jc w:val="left"/>
            </w:pPr>
            <w:r>
              <w:rPr>
                <w:bCs/>
                <w:b/>
              </w:rPr>
              <w:t xml:space="preserve">Overall Performance</w:t>
            </w:r>
          </w:p>
        </w:tc>
        <w:tc>
          <w:tcPr/>
          <w:p>
            <w:pPr>
              <w:pStyle w:val="Compact"/>
              <w:jc w:val="left"/>
            </w:pPr>
            <w:r>
              <w:rPr>
                <w:bCs/>
                <w:b/>
              </w:rPr>
              <w:t xml:space="preserve">4 (Exemplary)</w:t>
            </w:r>
          </w:p>
        </w:tc>
      </w:tr>
    </w:tbl>
    <w:bookmarkEnd w:id="27"/>
    <w:bookmarkStart w:id="28" w:name="conclusion-and-recommendations"/>
    <w:p>
      <w:pPr>
        <w:pStyle w:val="Heading2"/>
      </w:pPr>
      <w:r>
        <w:t xml:space="preserve">9. Conclusion and Recommendations</w:t>
      </w:r>
    </w:p>
    <w:p>
      <w:pPr>
        <w:pStyle w:val="FirstParagraph"/>
      </w:pPr>
      <w:r>
        <w:t xml:space="preserve">The Teacher Secondary under review has demonstrated exemplary teaching practices. The teacher is well-prepared, knowledgeable, and effective in engaging students. The classroom environment is positive and conducive to learning. The teacher is encouraged to continue focusing on the areas for improvement identified above, particularly in integrating technology and differentiating instruction. Regular peer observations and professional development workshops are recommended to support continued growth. This teacher is a valuable asset to the school and contributes significantly to the academic success of students in Nairobi.</w:t>
      </w:r>
    </w:p>
    <w:p>
      <w:pPr>
        <w:pStyle w:val="BodyText"/>
      </w:pPr>
      <w:r>
        <w:rPr>
          <w:bCs/>
          <w:b/>
        </w:rPr>
        <w:t xml:space="preserve">Signature of Teacher Under Review</w:t>
      </w:r>
      <w:r>
        <w:br/>
      </w:r>
      <w:r>
        <w:t xml:space="preserve">Date: ______________________</w:t>
      </w:r>
    </w:p>
    <w:p>
      <w:pPr>
        <w:pStyle w:val="BodyText"/>
      </w:pPr>
      <w:r>
        <w:rPr>
          <w:bCs/>
          <w:b/>
        </w:rPr>
        <w:t xml:space="preserve">Signature of Reviewing Peer</w:t>
      </w:r>
      <w:r>
        <w:br/>
      </w:r>
      <w:r>
        <w:t xml:space="preserve">Date: ______________________</w:t>
      </w:r>
    </w:p>
    <w:p>
      <w:pPr>
        <w:pStyle w:val="BodyText"/>
      </w:pPr>
      <w:r>
        <w:t xml:space="preserve">This Peer Review Report is confidential and intended for professional development purposes only. It is aligned with the standards set by the Teachers Service Commission (TSC) of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Kenya Nairobi</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