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Ministry of Education / Private Sector School, Kuwait City</w:t>
      </w:r>
    </w:p>
    <w:p>
      <w:pPr>
        <w:pStyle w:val="BodyText"/>
      </w:pPr>
      <w:r>
        <w:rPr>
          <w:bCs/>
          <w:b/>
        </w:rPr>
        <w:t xml:space="preserve">Location:</w:t>
      </w:r>
      <w:r>
        <w:t xml:space="preserve"> </w:t>
      </w:r>
      <w:r>
        <w:t xml:space="preserve">Kuwait, Kuwait City</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general-information"/>
    <w:p>
      <w:pPr>
        <w:pStyle w:val="Heading2"/>
      </w:pPr>
      <w:r>
        <w:t xml:space="preserve">1. General Information</w:t>
      </w:r>
    </w:p>
    <w:p>
      <w:pPr>
        <w:pStyle w:val="FirstParagraph"/>
      </w:pPr>
      <w:r>
        <w:rPr>
          <w:bCs/>
          <w:b/>
        </w:rPr>
        <w:t xml:space="preserve">Teacher Name:</w:t>
      </w:r>
      <w:r>
        <w:t xml:space="preserve"> </w:t>
      </w:r>
      <w:r>
        <w:t xml:space="preserve">[Insert Teacher Name]</w:t>
      </w:r>
    </w:p>
    <w:p>
      <w:pPr>
        <w:pStyle w:val="BodyText"/>
      </w:pPr>
      <w:r>
        <w:rPr>
          <w:bCs/>
          <w:b/>
        </w:rPr>
        <w:t xml:space="preserve">Position:</w:t>
      </w:r>
      <w:r>
        <w:t xml:space="preserve"> </w:t>
      </w:r>
      <w:r>
        <w:t xml:space="preserve">Teacher Secondary</w:t>
      </w:r>
    </w:p>
    <w:p>
      <w:pPr>
        <w:pStyle w:val="BodyText"/>
      </w:pPr>
      <w:r>
        <w:rPr>
          <w:bCs/>
          <w:b/>
        </w:rPr>
        <w:t xml:space="preserve">Subject Specialization:</w:t>
      </w:r>
      <w:r>
        <w:t xml:space="preserve"> </w:t>
      </w:r>
      <w:r>
        <w:t xml:space="preserve">[Insert Subject, e.g., Mathematics, Science, Arabic]</w:t>
      </w:r>
    </w:p>
    <w:p>
      <w:pPr>
        <w:pStyle w:val="BodyText"/>
      </w:pPr>
      <w:r>
        <w:rPr>
          <w:bCs/>
          <w:b/>
        </w:rPr>
        <w:t xml:space="preserve">Grade Levels:</w:t>
      </w:r>
      <w:r>
        <w:t xml:space="preserve"> </w:t>
      </w:r>
      <w:r>
        <w:t xml:space="preserve">Secondary Stage (Grades 10-12)</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Peer Reviewer / Department Head</w:t>
      </w:r>
    </w:p>
    <w:bookmarkEnd w:id="21"/>
    <w:bookmarkStart w:id="22" w:name="introduction-and-context"/>
    <w:p>
      <w:pPr>
        <w:pStyle w:val="Heading2"/>
      </w:pPr>
      <w:r>
        <w:t xml:space="preserve">2. Introduction and Context</w:t>
      </w:r>
    </w:p>
    <w:p>
      <w:pPr>
        <w:pStyle w:val="FirstParagraph"/>
      </w:pPr>
      <w:r>
        <w:t xml:space="preserve">This Peer Review Report serves as a formal evaluation of the professional practice of a Teacher Secondary within the educational framework of Kuwait City. The review process is designed to align with the strategic goals of the Ministry of Education and the specific institutional standards of schools located in the capital. The primary objective is to assess the teacher's effectiveness in delivering the national curriculum, fostering student engagement, and maintaining the high academic standards expected in the secondary education sector of Kuwait.</w:t>
      </w:r>
    </w:p>
    <w:p>
      <w:pPr>
        <w:pStyle w:val="BodyText"/>
      </w:pPr>
      <w:r>
        <w:t xml:space="preserve">The review focuses on classroom observation, lesson planning, assessment strategies, and professional conduct. It takes into account the unique cultural and educational context of Kuwait City, emphasizing the importance of bilingual proficiency, technological integration, and the preparation of students for higher education and national service.</w:t>
      </w:r>
    </w:p>
    <w:bookmarkEnd w:id="22"/>
    <w:bookmarkStart w:id="26" w:name="classroom-instruction-and-pedagogy"/>
    <w:p>
      <w:pPr>
        <w:pStyle w:val="Heading2"/>
      </w:pPr>
      <w:r>
        <w:t xml:space="preserve">3. Classroom Instruction and Pedagogy</w:t>
      </w:r>
    </w:p>
    <w:bookmarkStart w:id="23" w:name="lesson-planning-and-preparation"/>
    <w:p>
      <w:pPr>
        <w:pStyle w:val="Heading3"/>
      </w:pPr>
      <w:r>
        <w:t xml:space="preserve">3.1 Lesson Planning and Preparation</w:t>
      </w:r>
    </w:p>
    <w:p>
      <w:pPr>
        <w:pStyle w:val="FirstParagraph"/>
      </w:pPr>
      <w:r>
        <w:t xml:space="preserve">The Teacher Secondary demonstrates a high level of preparation. Lesson plans are meticulously structured, aligning strictly with the approved curriculum for the secondary stage in Kuwait. The teacher effectively integrates learning objectives that cater to diverse learning styles. There is a clear progression in the lesson flow, ensuring that complex concepts are broken down into manageable segments suitable for adolescent learners.</w:t>
      </w:r>
    </w:p>
    <w:bookmarkEnd w:id="23"/>
    <w:bookmarkStart w:id="24" w:name="delivery-and-engagement"/>
    <w:p>
      <w:pPr>
        <w:pStyle w:val="Heading3"/>
      </w:pPr>
      <w:r>
        <w:t xml:space="preserve">3.2 Delivery and Engagement</w:t>
      </w:r>
    </w:p>
    <w:p>
      <w:pPr>
        <w:pStyle w:val="FirstParagraph"/>
      </w:pPr>
      <w:r>
        <w:t xml:space="preserve">During the observed sessions, the teacher displayed strong command of the subject matter. The delivery was clear, articulate, and culturally appropriate for the student body in Kuwait City. The teacher successfully utilized interactive methods to engage students, moving beyond traditional lecturing to include group discussions and problem-solving activities. This approach is vital for maintaining the attention of secondary students who are preparing for critical national examinations.</w:t>
      </w:r>
    </w:p>
    <w:bookmarkEnd w:id="24"/>
    <w:bookmarkStart w:id="25" w:name="use-of-technology"/>
    <w:p>
      <w:pPr>
        <w:pStyle w:val="Heading3"/>
      </w:pPr>
      <w:r>
        <w:t xml:space="preserve">3.3 Use of Technology</w:t>
      </w:r>
    </w:p>
    <w:p>
      <w:pPr>
        <w:pStyle w:val="FirstParagraph"/>
      </w:pPr>
      <w:r>
        <w:t xml:space="preserve">In line with the digital transformation initiatives in Kuwait's education sector, the teacher effectively incorporates educational technology. The use of smartboards, digital simulations, and online collaborative tools enhances the learning experience. The teacher ensures that technology serves as a tool for deeper understanding rather than a mere distraction.</w:t>
      </w:r>
    </w:p>
    <w:bookmarkEnd w:id="25"/>
    <w:bookmarkEnd w:id="26"/>
    <w:bookmarkStart w:id="27" w:name="assessment-and-feedback"/>
    <w:p>
      <w:pPr>
        <w:pStyle w:val="Heading2"/>
      </w:pPr>
      <w:r>
        <w:t xml:space="preserve">4. Assessment and Feedback</w:t>
      </w:r>
    </w:p>
    <w:p>
      <w:pPr>
        <w:pStyle w:val="FirstParagraph"/>
      </w:pPr>
      <w:r>
        <w:t xml:space="preserve">The assessment strategies employed by the Teacher Secondary are robust and varied. Formative assessments are conducted regularly to monitor student progress and adjust instruction accordingly. Summative assessments are designed to accurately measure student achievement against national standards.</w:t>
      </w:r>
    </w:p>
    <w:p>
      <w:pPr>
        <w:pStyle w:val="BodyText"/>
      </w:pPr>
      <w:r>
        <w:t xml:space="preserve">Feedback provided to students is timely, constructive, and specific. The teacher encourages a growth mindset, helping students identify areas for improvement. This is particularly important in the secondary stage, where academic pressure is high. The teacher also maintains accurate records of student performance, ensuring transparency and accountability in line with school policies in Kuwait City.</w:t>
      </w:r>
    </w:p>
    <w:bookmarkEnd w:id="27"/>
    <w:bookmarkStart w:id="28" w:name="classroom-management-and-environment"/>
    <w:p>
      <w:pPr>
        <w:pStyle w:val="Heading2"/>
      </w:pPr>
      <w:r>
        <w:t xml:space="preserve">5. Classroom Management and Environment</w:t>
      </w:r>
    </w:p>
    <w:p>
      <w:pPr>
        <w:pStyle w:val="FirstParagraph"/>
      </w:pPr>
      <w:r>
        <w:t xml:space="preserve">The classroom environment is organized, respectful, and conducive to learning. The Teacher Secondary establishes clear expectations for behavior and academic conduct. Discipline is maintained through positive reinforcement and consistent application of rules, reflecting the cultural values of respect and community prevalent in Kuwait.</w:t>
      </w:r>
    </w:p>
    <w:p>
      <w:pPr>
        <w:pStyle w:val="BodyText"/>
      </w:pPr>
      <w:r>
        <w:t xml:space="preserve">The teacher fosters an inclusive atmosphere where all students feel valued and encouraged to participate. This is essential in a diverse classroom setting. The physical arrangement of the classroom supports both individual work and collaborative group tasks, facilitating a dynamic learning environment.</w:t>
      </w:r>
    </w:p>
    <w:bookmarkEnd w:id="28"/>
    <w:bookmarkStart w:id="29" w:name="professionalism-and-collaboration"/>
    <w:p>
      <w:pPr>
        <w:pStyle w:val="Heading2"/>
      </w:pPr>
      <w:r>
        <w:t xml:space="preserve">6. Professionalism and Collaboration</w:t>
      </w:r>
    </w:p>
    <w:p>
      <w:pPr>
        <w:pStyle w:val="FirstParagraph"/>
      </w:pPr>
      <w:r>
        <w:t xml:space="preserve">The Teacher Secondary exhibits a high degree of professionalism. Punctuality, dress code, and communication with parents and colleagues are exemplary. The teacher actively participates in departmental meetings and professional development workshops, demonstrating a commitment to continuous improvement.</w:t>
      </w:r>
    </w:p>
    <w:p>
      <w:pPr>
        <w:pStyle w:val="BodyText"/>
      </w:pPr>
      <w:r>
        <w:t xml:space="preserve">Collaboration with peers is strong. The teacher shares resources and best practices, contributing to the overall improvement of the department. This collaborative spirit is crucial for maintaining the high standards of education in Kuwait City schools.</w:t>
      </w:r>
    </w:p>
    <w:bookmarkEnd w:id="29"/>
    <w:bookmarkStart w:id="30" w:name="areas-for-improvement"/>
    <w:p>
      <w:pPr>
        <w:pStyle w:val="Heading2"/>
      </w:pPr>
      <w:r>
        <w:t xml:space="preserve">7. Areas for Improvement</w:t>
      </w:r>
    </w:p>
    <w:p>
      <w:pPr>
        <w:pStyle w:val="FirstParagraph"/>
      </w:pPr>
      <w:r>
        <w:t xml:space="preserve">While the performance is commendable, there are areas for further development:</w:t>
      </w:r>
    </w:p>
    <w:p>
      <w:pPr>
        <w:numPr>
          <w:ilvl w:val="0"/>
          <w:numId w:val="1001"/>
        </w:numPr>
        <w:pStyle w:val="Compact"/>
      </w:pPr>
      <w:r>
        <w:rPr>
          <w:bCs/>
          <w:b/>
        </w:rPr>
        <w:t xml:space="preserve">Differentiation:</w:t>
      </w:r>
      <w:r>
        <w:t xml:space="preserve"> </w:t>
      </w:r>
      <w:r>
        <w:t xml:space="preserve">Further strategies could be implemented to support students with varying levels of proficiency, particularly in bilingual contexts.</w:t>
      </w:r>
    </w:p>
    <w:p>
      <w:pPr>
        <w:numPr>
          <w:ilvl w:val="0"/>
          <w:numId w:val="1001"/>
        </w:numPr>
        <w:pStyle w:val="Compact"/>
      </w:pPr>
      <w:r>
        <w:rPr>
          <w:bCs/>
          <w:b/>
        </w:rPr>
        <w:t xml:space="preserve">Student Autonomy:</w:t>
      </w:r>
      <w:r>
        <w:t xml:space="preserve"> </w:t>
      </w:r>
      <w:r>
        <w:t xml:space="preserve">Encouraging more independent research projects could help develop critical thinking skills essential for university-level work.</w:t>
      </w:r>
    </w:p>
    <w:p>
      <w:pPr>
        <w:numPr>
          <w:ilvl w:val="0"/>
          <w:numId w:val="1001"/>
        </w:numPr>
        <w:pStyle w:val="Compact"/>
      </w:pPr>
      <w:r>
        <w:rPr>
          <w:bCs/>
          <w:b/>
        </w:rPr>
        <w:t xml:space="preserve">Parental Engagement:</w:t>
      </w:r>
      <w:r>
        <w:t xml:space="preserve"> </w:t>
      </w:r>
      <w:r>
        <w:t xml:space="preserve">Increasing proactive communication with parents regarding student progress could strengthen the home-school partnership.</w:t>
      </w:r>
    </w:p>
    <w:bookmarkEnd w:id="30"/>
    <w:bookmarkStart w:id="31" w:name="conclusion-and-recommendations"/>
    <w:p>
      <w:pPr>
        <w:pStyle w:val="Heading2"/>
      </w:pPr>
      <w:r>
        <w:t xml:space="preserve">8. Conclusion and Recommendations</w:t>
      </w:r>
    </w:p>
    <w:p>
      <w:pPr>
        <w:pStyle w:val="FirstParagraph"/>
      </w:pPr>
      <w:r>
        <w:t xml:space="preserve">In conclusion, the Teacher Secondary under review demonstrates excellent competence and dedication. The teaching practices are aligned with the educational goals of Kuwait and the specific requirements of the secondary stage. The teacher plays a vital role in shaping the future of students in Kuwait City.</w:t>
      </w:r>
    </w:p>
    <w:p>
      <w:pPr>
        <w:pStyle w:val="BodyText"/>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It is recommended that the teacher continue their current practices while focusing on the identified areas for improvement. Participation in advanced training on differentiated instruction is suggested.</w:t>
      </w:r>
    </w:p>
    <w:bookmarkEnd w:id="31"/>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Kuwait City</dc:title>
  <dc:creator/>
  <dc:language>en</dc:language>
  <cp:keywords/>
  <dcterms:created xsi:type="dcterms:W3CDTF">2026-10-10T03:18:26Z</dcterms:created>
  <dcterms:modified xsi:type="dcterms:W3CDTF">2026-10-10T03:18:26Z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