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t xml:space="preserve">Professional Development &amp; Evaluation Framework</w:t>
      </w:r>
    </w:p>
    <w:p>
      <w:pPr>
        <w:pStyle w:val="BodyText"/>
      </w:pPr>
      <w:r>
        <w:rPr>
          <w:bCs/>
          <w:b/>
        </w:rPr>
        <w:t xml:space="preserve">Teacher Name:</w:t>
      </w:r>
      <w:r>
        <w:t xml:space="preserve"> </w:t>
      </w:r>
      <w:r>
        <w:t xml:space="preserve">Mr. Ahmad bin Razak</w:t>
      </w:r>
    </w:p>
    <w:p>
      <w:pPr>
        <w:pStyle w:val="BodyText"/>
      </w:pPr>
      <w:r>
        <w:rPr>
          <w:bCs/>
          <w:b/>
        </w:rPr>
        <w:t xml:space="preserve">Position:</w:t>
      </w:r>
      <w:r>
        <w:t xml:space="preserve"> </w:t>
      </w:r>
      <w:r>
        <w:t xml:space="preserve">Teacher Secondary (Science)</w:t>
      </w:r>
    </w:p>
    <w:p>
      <w:pPr>
        <w:pStyle w:val="BodyText"/>
      </w:pPr>
      <w:r>
        <w:rPr>
          <w:bCs/>
          <w:b/>
        </w:rPr>
        <w:t xml:space="preserve">School:</w:t>
      </w:r>
      <w:r>
        <w:t xml:space="preserve"> </w:t>
      </w:r>
      <w:r>
        <w:t xml:space="preserve">Sekolah Menengah Kebangsaan (SMK) Damansara Utama</w:t>
      </w:r>
    </w:p>
    <w:p>
      <w:pPr>
        <w:pStyle w:val="BodyText"/>
      </w:pPr>
      <w:r>
        <w:rPr>
          <w:bCs/>
          <w:b/>
        </w:rPr>
        <w:t xml:space="preserve">Location:</w:t>
      </w:r>
      <w:r>
        <w:t xml:space="preserve"> </w:t>
      </w:r>
      <w:r>
        <w:t xml:space="preserve">Kuala Lumpur, Malaysia</w:t>
      </w:r>
    </w:p>
    <w:p>
      <w:pPr>
        <w:pStyle w:val="BodyText"/>
      </w:pPr>
      <w:r>
        <w:rPr>
          <w:bCs/>
          <w:b/>
        </w:rPr>
        <w:t xml:space="preserve">Reviewer:</w:t>
      </w:r>
      <w:r>
        <w:t xml:space="preserve"> </w:t>
      </w:r>
      <w:r>
        <w:t xml:space="preserve">Ms. Sarah Lim (Senior Teacher)</w:t>
      </w:r>
    </w:p>
    <w:p>
      <w:pPr>
        <w:pStyle w:val="BodyText"/>
      </w:pPr>
      <w:r>
        <w:rPr>
          <w:bCs/>
          <w:b/>
        </w:rPr>
        <w:t xml:space="preserve">Date of Observation:</w:t>
      </w:r>
      <w:r>
        <w:t xml:space="preserve"> </w:t>
      </w:r>
      <w:r>
        <w:t xml:space="preserve">15 October 2023</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in accordance with the guidelines set forth by the Ministry of Education Malaysia (KPM) to evaluate the professional performance of a</w:t>
      </w:r>
      <w:r>
        <w:t xml:space="preserve"> </w:t>
      </w:r>
      <w:r>
        <w:rPr>
          <w:bCs/>
          <w:b/>
        </w:rPr>
        <w:t xml:space="preserve">Teacher Secondary</w:t>
      </w:r>
      <w:r>
        <w:t xml:space="preserve"> </w:t>
      </w:r>
      <w:r>
        <w:t xml:space="preserve">within the urban educational landscape of</w:t>
      </w:r>
      <w:r>
        <w:t xml:space="preserve"> </w:t>
      </w:r>
      <w:r>
        <w:rPr>
          <w:bCs/>
          <w:b/>
        </w:rPr>
        <w:t xml:space="preserve">Malaysia Kuala Lumpur</w:t>
      </w:r>
      <w:r>
        <w:t xml:space="preserve">. The primary objective of this review is to provide constructive feedback, identify areas of excellence, and suggest actionable strategies for professional growth.</w:t>
      </w:r>
    </w:p>
    <w:p>
      <w:pPr>
        <w:pStyle w:val="BodyText"/>
      </w:pPr>
      <w:r>
        <w:t xml:space="preserve">The observation took place at a secondary school in the heart of Kuala Lumpur, a city known for its diverse student population and high academic expectations. The subject observed was Form 4 Science, focusing on the topic of "Chemical Bonding." The classroom environment reflected the multicultural nature of Kuala Lumpur, with students from Malay, Chinese, Indian, and indigenous backgrounds. The review assesses the teacher's adherence to the Standard Kurikulum dan Pentaksiran (SKP) and their ability to implement the Malaysian Education Blueprint (MEB) 2013-2025.</w:t>
      </w:r>
    </w:p>
    <w:bookmarkEnd w:id="21"/>
    <w:bookmarkStart w:id="22" w:name="classroom-management-and-environment"/>
    <w:p>
      <w:pPr>
        <w:pStyle w:val="Heading2"/>
      </w:pPr>
      <w:r>
        <w:t xml:space="preserve">2. Classroom Management and Environment</w:t>
      </w:r>
    </w:p>
    <w:p>
      <w:pPr>
        <w:pStyle w:val="FirstParagraph"/>
      </w:pPr>
      <w:r>
        <w:t xml:space="preserve">The</w:t>
      </w:r>
      <w:r>
        <w:t xml:space="preserve"> </w:t>
      </w:r>
      <w:r>
        <w:rPr>
          <w:bCs/>
          <w:b/>
        </w:rPr>
        <w:t xml:space="preserve">Teacher Secondary</w:t>
      </w:r>
      <w:r>
        <w:t xml:space="preserve"> </w:t>
      </w:r>
      <w:r>
        <w:t xml:space="preserve">demonstrated a high level of competence in managing a dynamic classroom typical of</w:t>
      </w:r>
      <w:r>
        <w:t xml:space="preserve"> </w:t>
      </w:r>
      <w:r>
        <w:rPr>
          <w:bCs/>
          <w:b/>
        </w:rPr>
        <w:t xml:space="preserve">Malaysia Kuala Lumpur</w:t>
      </w:r>
      <w:r>
        <w:t xml:space="preserve"> </w:t>
      </w:r>
      <w:r>
        <w:t xml:space="preserve">schools. The physical environment was organized, with learning materials, including science apparatus and digital displays, arranged to facilitate easy access. The teacher established clear behavioral expectations at the start of the lesson, ensuring that the diverse group of adolescents remained focused.</w:t>
      </w:r>
    </w:p>
    <w:p>
      <w:pPr>
        <w:pStyle w:val="BodyText"/>
      </w:pPr>
      <w:r>
        <w:t xml:space="preserve">Notably, the teacher utilized a multi-lingual approach to clarify complex instructions, seamlessly switching between Bahasa Melayu and English. This strategy is particularly effective in Kuala Lumpur, where students often navigate between languages. The teacher maintained a positive rapport with students, addressing them respectfully and encouraging participation from quieter students, thereby fostering an inclusive atmosphere.</w:t>
      </w:r>
    </w:p>
    <w:bookmarkEnd w:id="22"/>
    <w:bookmarkStart w:id="23" w:name="instructional-strategies-and-pedagogy"/>
    <w:p>
      <w:pPr>
        <w:pStyle w:val="Heading2"/>
      </w:pPr>
      <w:r>
        <w:t xml:space="preserve">3. Instructional Strategies and Pedagogy</w:t>
      </w:r>
    </w:p>
    <w:p>
      <w:pPr>
        <w:pStyle w:val="FirstParagraph"/>
      </w:pPr>
      <w:r>
        <w:t xml:space="preserve">The instructional delivery was engaging and aligned with the inquiry-based learning approach advocated by the Ministry of Education. The</w:t>
      </w:r>
      <w:r>
        <w:t xml:space="preserve"> </w:t>
      </w:r>
      <w:r>
        <w:rPr>
          <w:bCs/>
          <w:b/>
        </w:rPr>
        <w:t xml:space="preserve">Teacher Secondary</w:t>
      </w:r>
      <w:r>
        <w:t xml:space="preserve"> </w:t>
      </w:r>
      <w:r>
        <w:t xml:space="preserve">effectively utilized the "5E Instructional Model" (Engage, Explore, Explain, Elaborate, Evaluate). The lesson began with a real-world scenario relevant to the students' lives in Kuala Lumpur, such as the formation of rust on vehicles in the humid tropical climate, which successfully engaged the students' interest.</w:t>
      </w:r>
    </w:p>
    <w:p>
      <w:pPr>
        <w:pStyle w:val="BodyText"/>
      </w:pPr>
      <w:r>
        <w:t xml:space="preserve">The integration of technology was a standout feature. The teacher used interactive simulations to visualize atomic structures, catering to visual learners. Furthermore, the teacher employed differentiated instruction strategies, providing additional scaffolding for students who struggled with the concept of ionic bonding while offering extension questions for advanced learners. This adaptability is crucial for a</w:t>
      </w:r>
      <w:r>
        <w:t xml:space="preserve"> </w:t>
      </w:r>
      <w:r>
        <w:rPr>
          <w:bCs/>
          <w:b/>
        </w:rPr>
        <w:t xml:space="preserve">Teacher Secondary</w:t>
      </w:r>
      <w:r>
        <w:t xml:space="preserve"> </w:t>
      </w:r>
      <w:r>
        <w:t xml:space="preserve">managing mixed-ability classes in urban Malaysian schools.</w:t>
      </w:r>
    </w:p>
    <w:bookmarkEnd w:id="23"/>
    <w:bookmarkStart w:id="24" w:name="assessment-and-feedback"/>
    <w:p>
      <w:pPr>
        <w:pStyle w:val="Heading2"/>
      </w:pPr>
      <w:r>
        <w:t xml:space="preserve">4. Assessment and Feedback</w:t>
      </w:r>
    </w:p>
    <w:p>
      <w:pPr>
        <w:pStyle w:val="FirstParagraph"/>
      </w:pPr>
      <w:r>
        <w:t xml:space="preserve">Formative assessment was woven throughout the lesson. The teacher utilized "Think-Pair-Share" activities to check for understanding before moving to more complex topics. Immediate feedback was provided to students, correcting misconceptions about electron transfer without discouraging them. The teacher also referred to the rubric for the upcoming project-based assessment, ensuring students understood the criteria for success.</w:t>
      </w:r>
    </w:p>
    <w:p>
      <w:pPr>
        <w:pStyle w:val="BodyText"/>
      </w:pPr>
      <w:r>
        <w:t xml:space="preserve">The alignment of the lesson objectives with the national assessment standards was evident. The teacher ensured that the learning outcomes met the requirements of the SKP for Form 4 Science. This alignment is critical for ensuring that students in</w:t>
      </w:r>
      <w:r>
        <w:t xml:space="preserve"> </w:t>
      </w:r>
      <w:r>
        <w:rPr>
          <w:bCs/>
          <w:b/>
        </w:rPr>
        <w:t xml:space="preserve">Malaysia Kuala Lumpur</w:t>
      </w:r>
      <w:r>
        <w:t xml:space="preserve"> </w:t>
      </w:r>
      <w:r>
        <w:t xml:space="preserve">are adequately prepared for national examinations such as the Sijil Pelajaran Malaysia (SPM).</w:t>
      </w:r>
    </w:p>
    <w:bookmarkEnd w:id="24"/>
    <w:bookmarkStart w:id="25" w:name="areas-for-improvement"/>
    <w:p>
      <w:pPr>
        <w:pStyle w:val="Heading2"/>
      </w:pPr>
      <w:r>
        <w:t xml:space="preserve">5. Areas for Improvement</w:t>
      </w:r>
    </w:p>
    <w:p>
      <w:pPr>
        <w:pStyle w:val="FirstParagraph"/>
      </w:pPr>
      <w:r>
        <w:t xml:space="preserve">While the lesson was largely successful, this</w:t>
      </w:r>
      <w:r>
        <w:t xml:space="preserve"> </w:t>
      </w:r>
      <w:r>
        <w:rPr>
          <w:bCs/>
          <w:b/>
        </w:rPr>
        <w:t xml:space="preserve">Peer Review Report</w:t>
      </w:r>
      <w:r>
        <w:t xml:space="preserve"> </w:t>
      </w:r>
      <w:r>
        <w:t xml:space="preserve">identifies a few areas for refinement. First, the pacing of the "Explain" phase was slightly rushed, leaving some students with lingering questions. The teacher should consider allocating more time for student-led discussions to deepen conceptual understanding.</w:t>
      </w:r>
    </w:p>
    <w:p>
      <w:pPr>
        <w:pStyle w:val="BodyText"/>
      </w:pPr>
      <w:r>
        <w:t xml:space="preserve">Second, while the use of technology was effective, there was a brief technical delay that disrupted the flow. It is recommended that the</w:t>
      </w:r>
      <w:r>
        <w:t xml:space="preserve"> </w:t>
      </w:r>
      <w:r>
        <w:rPr>
          <w:bCs/>
          <w:b/>
        </w:rPr>
        <w:t xml:space="preserve">Teacher Secondary</w:t>
      </w:r>
      <w:r>
        <w:t xml:space="preserve"> </w:t>
      </w:r>
      <w:r>
        <w:t xml:space="preserve">always have a non-digital backup plan, which is a practical necessity in any school setting. Finally, the teacher could further enhance inclusivity by incorporating more examples from the diverse cultural backgrounds present in the Kuala Lumpur classroom to make the content even more relatable.</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Highly Effective</w:t>
      </w:r>
    </w:p>
    <w:p>
      <w:pPr>
        <w:pStyle w:val="BodyText"/>
      </w:pPr>
      <w:r>
        <w:rPr>
          <w:bCs/>
          <w:b/>
        </w:rPr>
        <w:t xml:space="preserve">Summary:</w:t>
      </w:r>
      <w:r>
        <w:t xml:space="preserve"> </w:t>
      </w:r>
      <w:r>
        <w:t xml:space="preserve">The observed</w:t>
      </w:r>
      <w:r>
        <w:t xml:space="preserve"> </w:t>
      </w:r>
      <w:r>
        <w:rPr>
          <w:bCs/>
          <w:b/>
        </w:rPr>
        <w:t xml:space="preserve">Teacher Secondary</w:t>
      </w:r>
      <w:r>
        <w:t xml:space="preserve"> </w:t>
      </w:r>
      <w:r>
        <w:t xml:space="preserve">demonstrates a strong commitment to pedagogical excellence and student-centered learning. The lesson was well-planned, engaging, and culturally responsive to the context of</w:t>
      </w:r>
      <w:r>
        <w:t xml:space="preserve"> </w:t>
      </w:r>
      <w:r>
        <w:rPr>
          <w:bCs/>
          <w:b/>
        </w:rPr>
        <w:t xml:space="preserve">Malaysia Kuala Lumpur</w:t>
      </w:r>
      <w:r>
        <w:t xml:space="preserve">. With minor adjustments to pacing and contingency planning, this teacher is well-positioned to continue excelling in their role.</w:t>
      </w:r>
    </w:p>
    <w:bookmarkEnd w:id="26"/>
    <w:p>
      <w:pPr>
        <w:pStyle w:val="BodyText"/>
      </w:pPr>
      <w:r>
        <w:rPr>
          <w:bCs/>
          <w:b/>
        </w:rPr>
        <w:t xml:space="preserve">Reviewed By:</w:t>
      </w:r>
    </w:p>
    <w:p>
      <w:pPr>
        <w:pStyle w:val="BodyText"/>
      </w:pPr>
      <w:r>
        <w:t xml:space="preserve">Ms. Sarah Lim</w:t>
      </w:r>
      <w:r>
        <w:br/>
      </w:r>
      <w:r>
        <w:t xml:space="preserve">Senior Teacher / Peer Reviewer</w:t>
      </w:r>
    </w:p>
    <w:p>
      <w:pPr>
        <w:pStyle w:val="BodyText"/>
      </w:pPr>
      <w:r>
        <w:rPr>
          <w:bCs/>
          <w:b/>
        </w:rPr>
        <w:t xml:space="preserve">Reviewed Teacher:</w:t>
      </w:r>
    </w:p>
    <w:p>
      <w:pPr>
        <w:pStyle w:val="BodyText"/>
      </w:pPr>
      <w:r>
        <w:t xml:space="preserve">Mr. Ahmad bin Razak</w:t>
      </w:r>
      <w:r>
        <w:br/>
      </w:r>
      <w:r>
        <w:t xml:space="preserve">Teacher Secondary</w:t>
      </w:r>
    </w:p>
    <w:p>
      <w:pPr>
        <w:pStyle w:val="BodyText"/>
      </w:pPr>
      <w:r>
        <w:t xml:space="preserve">This document is confidential and intended for professional development purposes only.</w:t>
      </w:r>
      <w:r>
        <w:br/>
      </w:r>
      <w:r>
        <w:t xml:space="preserve">Prepared in compliance with the Ministry of Education Malaysia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Kuala Lumpur, Malaysia</dc:title>
  <dc:creator/>
  <dc:language>en</dc:language>
  <cp:keywords/>
  <dcterms:created xsi:type="dcterms:W3CDTF">2026-10-10T08:52:18Z</dcterms:created>
  <dcterms:modified xsi:type="dcterms:W3CDTF">2026-10-10T08:52:18Z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