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Amsterdam</w:t>
      </w:r>
    </w:p>
    <w:bookmarkStart w:id="20" w:name="peer-review-report"/>
    <w:p>
      <w:pPr>
        <w:pStyle w:val="Heading1"/>
      </w:pPr>
      <w:r>
        <w:t xml:space="preserve">Peer Review Report</w:t>
      </w:r>
    </w:p>
    <w:p>
      <w:pPr>
        <w:pStyle w:val="FirstParagraph"/>
      </w:pPr>
      <w:r>
        <w:t xml:space="preserve">Secondary Education Quality Assurance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Amsterdam, Netherlands</w:t>
      </w:r>
    </w:p>
    <w:p>
      <w:pPr>
        <w:pStyle w:val="BodyText"/>
      </w:pPr>
      <w:r>
        <w:rPr>
          <w:bCs/>
          <w:b/>
        </w:rPr>
        <w:t xml:space="preserve">Subject Teacher:</w:t>
      </w:r>
      <w:r>
        <w:t xml:space="preserve"> </w:t>
      </w:r>
      <w:r>
        <w:t xml:space="preserve">[Teacher Name Redacted]</w:t>
      </w:r>
    </w:p>
    <w:p>
      <w:pPr>
        <w:pStyle w:val="BodyText"/>
      </w:pPr>
      <w:r>
        <w:rPr>
          <w:bCs/>
          <w:b/>
        </w:rPr>
        <w:t xml:space="preserve">Subject Area:</w:t>
      </w:r>
      <w:r>
        <w:t xml:space="preserve"> </w:t>
      </w:r>
      <w:r>
        <w:t xml:space="preserve">History &amp; Social Sciences</w:t>
      </w:r>
    </w:p>
    <w:p>
      <w:pPr>
        <w:pStyle w:val="BodyText"/>
      </w:pPr>
      <w:r>
        <w:rPr>
          <w:bCs/>
          <w:b/>
        </w:rPr>
        <w:t xml:space="preserve">Grade Level:</w:t>
      </w:r>
      <w:r>
        <w:t xml:space="preserve"> </w:t>
      </w:r>
      <w:r>
        <w:t xml:space="preserve">HAVO/VWO (Secondary)</w:t>
      </w:r>
    </w:p>
    <w:p>
      <w:pPr>
        <w:pStyle w:val="BodyText"/>
      </w:pPr>
      <w:r>
        <w:rPr>
          <w:bCs/>
          <w:b/>
        </w:rPr>
        <w:t xml:space="preserve">Reviewer:</w:t>
      </w:r>
      <w:r>
        <w:t xml:space="preserve"> </w:t>
      </w:r>
      <w:r>
        <w:t xml:space="preserve">Senior Pedagogical Coach</w:t>
      </w:r>
    </w:p>
    <w:bookmarkStart w:id="21" w:name="introduction-and-context"/>
    <w:p>
      <w:pPr>
        <w:pStyle w:val="Heading2"/>
      </w:pPr>
      <w:r>
        <w:t xml:space="preserve">1. Introduction and Context</w:t>
      </w:r>
    </w:p>
    <w:p>
      <w:pPr>
        <w:pStyle w:val="FirstParagraph"/>
      </w:pPr>
      <w:r>
        <w:t xml:space="preserve">This Peer Review Report has been compiled in accordance with the professional standards set by the Dutch Association of Secondary School Teachers (NVOPO) and the specific quality frameworks utilized by educational institutions in Amsterdam. The primary objective of this review is to evaluate the pedagogical effectiveness, classroom management, and curriculum alignment of the subject teacher within the context of the Dutch secondary education system.</w:t>
      </w:r>
    </w:p>
    <w:p>
      <w:pPr>
        <w:pStyle w:val="BodyText"/>
      </w:pPr>
      <w:r>
        <w:t xml:space="preserve">The review focuses on the teacher's ability to facilitate learning in a diverse, multicultural classroom environment typical of Amsterdam. It assesses how well the Teacher Secondary integrates the national core objectives (Kerndoelen) and the specific examination program (Examenprogramma) into daily instruction. The evaluation is based on two observed lessons, a review of student assessment data, and a reflective interview with the teacher.</w:t>
      </w:r>
    </w:p>
    <w:bookmarkEnd w:id="21"/>
    <w:bookmarkStart w:id="22" w:name="pedagogical-content-knowledge"/>
    <w:p>
      <w:pPr>
        <w:pStyle w:val="Heading2"/>
      </w:pPr>
      <w:r>
        <w:t xml:space="preserve">2. Pedagogical Content Knowledge</w:t>
      </w:r>
    </w:p>
    <w:p>
      <w:pPr>
        <w:pStyle w:val="FirstParagraph"/>
      </w:pPr>
      <w:r>
        <w:t xml:space="preserve">The teacher demonstrates a robust command of the subject matter, essential for navigating the rigorous demands of the Dutch secondary curriculum. During the observed lessons on "Post-War European Integration," the content was presented with accuracy and depth appropriate for VWO-level students. The Teacher Secondary successfully connected historical events to contemporary political issues, fostering critical thinking skills required for the central examinations (Centraal Examen).</w:t>
      </w:r>
    </w:p>
    <w:p>
      <w:pPr>
        <w:pStyle w:val="BodyText"/>
      </w:pPr>
      <w:r>
        <w:t xml:space="preserve">Furthermore, the teacher effectively utilized the "Less is More" principle often advocated in Dutch pedagogy, focusing on key concepts rather than overwhelming students with excessive detail. The use of primary sources was particularly effective, encouraging students to analyze bias and perspective, a key competency in the Dutch history curriculum.</w:t>
      </w:r>
    </w:p>
    <w:bookmarkEnd w:id="22"/>
    <w:bookmarkStart w:id="23" w:name="X13f42425fe5e3e244d3644255ee2032248f90cc"/>
    <w:p>
      <w:pPr>
        <w:pStyle w:val="Heading2"/>
      </w:pPr>
      <w:r>
        <w:t xml:space="preserve">3. Classroom Management and Learning Environment</w:t>
      </w:r>
    </w:p>
    <w:p>
      <w:pPr>
        <w:pStyle w:val="FirstParagraph"/>
      </w:pPr>
      <w:r>
        <w:t xml:space="preserve">Classroom management in Amsterdam schools requires a delicate balance between authority and student autonomy. The teacher under review maintains a professional yet approachable demeanor. The classroom environment is structured to support active learning, with clear routines established for group work and individual tasks.</w:t>
      </w:r>
    </w:p>
    <w:p>
      <w:pPr>
        <w:pStyle w:val="BodyText"/>
      </w:pPr>
      <w:r>
        <w:t xml:space="preserve">The teacher successfully manages a heterogeneous group of students with varying language proficiencies. Strategies such as visual aids, bilingual glossaries, and differentiated questioning were observed. This is crucial in Amsterdam, where many students are allochthonous or have Dutch as a second language. The teacher ensures that all students, regardless of background, feel included and capable of participating in the lesson.</w:t>
      </w:r>
    </w:p>
    <w:bookmarkEnd w:id="23"/>
    <w:bookmarkStart w:id="24" w:name="differentiation-and-inclusion"/>
    <w:p>
      <w:pPr>
        <w:pStyle w:val="Heading2"/>
      </w:pPr>
      <w:r>
        <w:t xml:space="preserve">4. Differentiation and Inclusion</w:t>
      </w:r>
    </w:p>
    <w:p>
      <w:pPr>
        <w:pStyle w:val="FirstParagraph"/>
      </w:pPr>
      <w:r>
        <w:t xml:space="preserve">A critical aspect of this Peer Review Report is the assessment of differentiation. The teacher Secondary shows a strong commitment to inclusive education. During the lesson, tasks were tiered to accommodate different learning levels. Advanced students were challenged with complex analytical questions, while students requiring additional support were provided with structured scaffolding.</w:t>
      </w:r>
    </w:p>
    <w:p>
      <w:pPr>
        <w:pStyle w:val="BodyText"/>
      </w:pPr>
      <w:r>
        <w:t xml:space="preserve">The teacher actively monitors student progress and adjusts instruction in real-time. This responsiveness aligns with the Dutch emphasis on "leerlijn" (learning line) continuity. However, there is room for improvement in providing more explicit feedback to students with specific learning needs, ensuring they fully grasp the criteria for success before independent work begins.</w:t>
      </w:r>
    </w:p>
    <w:bookmarkEnd w:id="24"/>
    <w:bookmarkStart w:id="25" w:name="assessment-and-feedback"/>
    <w:p>
      <w:pPr>
        <w:pStyle w:val="Heading2"/>
      </w:pPr>
      <w:r>
        <w:t xml:space="preserve">5. Assessment and Feedback</w:t>
      </w:r>
    </w:p>
    <w:p>
      <w:pPr>
        <w:pStyle w:val="FirstParagraph"/>
      </w:pPr>
      <w:r>
        <w:t xml:space="preserve">Assessment practices are aligned with the school's internal policy and national standards. The teacher utilizes formative assessment techniques effectively, such as exit tickets and quick quizzes, to gauge understanding. Feedback provided to students is timely and constructive, focusing on specific areas for improvement rather than general praise.</w:t>
      </w:r>
    </w:p>
    <w:p>
      <w:pPr>
        <w:pStyle w:val="BodyText"/>
      </w:pPr>
      <w:r>
        <w:t xml:space="preserve">The teacher clearly communicates grading criteria, which is vital for student success in the Dutch secondary system. Students are aware of how their work contributes to their final grade and their preparation for the national exams. The use of digital platforms for submitting assignments and receiving feedback is seamless and well-integrated into the workflow.</w:t>
      </w:r>
    </w:p>
    <w:bookmarkEnd w:id="25"/>
    <w:bookmarkStart w:id="26" w:name="professional-development-and-reflection"/>
    <w:p>
      <w:pPr>
        <w:pStyle w:val="Heading2"/>
      </w:pPr>
      <w:r>
        <w:t xml:space="preserve">6. Professional Development and Reflection</w:t>
      </w:r>
    </w:p>
    <w:p>
      <w:pPr>
        <w:pStyle w:val="FirstParagraph"/>
      </w:pPr>
      <w:r>
        <w:t xml:space="preserve">The teacher demonstrates a high level of professional reflection. During the post-observation interview, the teacher was able to critically analyze their own performance, identifying both strengths and areas for growth. This reflective practice is a cornerstone of the Dutch teaching profession.</w:t>
      </w:r>
    </w:p>
    <w:p>
      <w:pPr>
        <w:pStyle w:val="BodyText"/>
      </w:pPr>
      <w:r>
        <w:t xml:space="preserve">The teacher is actively engaged in professional learning communities (PLC) within the school and participates in external workshops. There is a clear willingness to adopt new pedagogical strategies and technologies to enhance student learning.</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Teacher Secondary:</w:t>
      </w:r>
    </w:p>
    <w:p>
      <w:pPr>
        <w:numPr>
          <w:ilvl w:val="0"/>
          <w:numId w:val="1001"/>
        </w:numPr>
        <w:pStyle w:val="Compact"/>
      </w:pPr>
      <w:r>
        <w:rPr>
          <w:bCs/>
          <w:b/>
        </w:rPr>
        <w:t xml:space="preserve">Enhance Language Support:</w:t>
      </w:r>
      <w:r>
        <w:t xml:space="preserve"> </w:t>
      </w:r>
      <w:r>
        <w:t xml:space="preserve">Continue to develop strategies for supporting students with limited Dutch proficiency, perhaps by collaborating more closely with the school's language support team.</w:t>
      </w:r>
    </w:p>
    <w:p>
      <w:pPr>
        <w:numPr>
          <w:ilvl w:val="0"/>
          <w:numId w:val="1001"/>
        </w:numPr>
        <w:pStyle w:val="Compact"/>
      </w:pPr>
      <w:r>
        <w:rPr>
          <w:bCs/>
          <w:b/>
        </w:rPr>
        <w:t xml:space="preserve">Deepen Student Autonomy:</w:t>
      </w:r>
      <w:r>
        <w:t xml:space="preserve"> </w:t>
      </w:r>
      <w:r>
        <w:t xml:space="preserve">Encourage more student-led inquiry projects to further develop the independent learning skills valued in Dutch higher education.</w:t>
      </w:r>
    </w:p>
    <w:p>
      <w:pPr>
        <w:numPr>
          <w:ilvl w:val="0"/>
          <w:numId w:val="1001"/>
        </w:numPr>
        <w:pStyle w:val="Compact"/>
      </w:pPr>
      <w:r>
        <w:rPr>
          <w:bCs/>
          <w:b/>
        </w:rPr>
        <w:t xml:space="preserve">Feedback Specificity:</w:t>
      </w:r>
      <w:r>
        <w:t xml:space="preserve"> </w:t>
      </w:r>
      <w:r>
        <w:t xml:space="preserve">Increase the specificity of written feedback on assignments to ensure students understand exactly how to improve their analytical skills.</w:t>
      </w:r>
    </w:p>
    <w:bookmarkEnd w:id="27"/>
    <w:bookmarkStart w:id="28" w:name="conclusion"/>
    <w:p>
      <w:pPr>
        <w:pStyle w:val="Heading2"/>
      </w:pPr>
      <w:r>
        <w:t xml:space="preserve">8. Conclusion</w:t>
      </w:r>
    </w:p>
    <w:p>
      <w:pPr>
        <w:pStyle w:val="FirstParagraph"/>
      </w:pPr>
      <w:r>
        <w:t xml:space="preserve">In conclusion, this Peer Review Report confirms that the Teacher Secondary is performing at a high professional level. The teacher effectively balances the demands of the national curriculum with the needs of a diverse student body in Amsterdam. The pedagogical approach is sound, the classroom environment is conducive to learning, and the teacher demonstrates a strong commitment to professional growth. With the implementation of the recommended improvements, the teacher is well-positioned to continue making a significant positive impact on student outcomes in the Netherlands.</w:t>
      </w:r>
    </w:p>
    <w:p>
      <w:pPr>
        <w:pStyle w:val="BodyText"/>
      </w:pPr>
      <w:r>
        <w:rPr>
          <w:bCs/>
          <w:b/>
        </w:rPr>
        <w:t xml:space="preserve">Reviewer Signature</w:t>
      </w:r>
      <w:r>
        <w:br/>
      </w:r>
      <w:r>
        <w:t xml:space="preserve">Senior Pedagogical Coach</w:t>
      </w:r>
    </w:p>
    <w:p>
      <w:pPr>
        <w:pStyle w:val="BodyText"/>
      </w:pPr>
      <w:r>
        <w:rPr>
          <w:bCs/>
          <w:b/>
        </w:rPr>
        <w:t xml:space="preserve">Teacher Signature</w:t>
      </w:r>
      <w:r>
        <w:br/>
      </w:r>
      <w:r>
        <w:t xml:space="preserve">Acknowledgement of Receipt</w:t>
      </w:r>
    </w:p>
    <w:p>
      <w:pPr>
        <w:pStyle w:val="BodyText"/>
      </w:pPr>
      <w:r>
        <w:t xml:space="preserve">Confidential Document - For Internal Use Only</w:t>
      </w:r>
      <w:r>
        <w:br/>
      </w:r>
      <w:r>
        <w:t xml:space="preserve">Prepared in accordance with Dutch Educational Standards and Amsterdam Municipal Guidelines.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Amsterdam</dc:title>
  <dc:creator/>
  <dc:language>en</dc:language>
  <cp:keywords/>
  <dcterms:created xsi:type="dcterms:W3CDTF">2026-10-10T03:16:06Z</dcterms:created>
  <dcterms:modified xsi:type="dcterms:W3CDTF">2026-10-10T03:16:06Z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