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Professional Development</w:t>
      </w:r>
    </w:p>
    <w:p>
      <w:pPr>
        <w:pStyle w:val="BodyText"/>
      </w:pPr>
      <w:r>
        <w:rPr>
          <w:bCs/>
          <w:b/>
        </w:rPr>
        <w:t xml:space="preserve">Location:</w:t>
      </w:r>
      <w:r>
        <w:t xml:space="preserve"> </w:t>
      </w:r>
      <w:r>
        <w:t xml:space="preserve">Auckland, New Zealand</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practice of a Teacher Secondary within a secondary school setting in Auckland, New Zealand. The review aligns with the New Zealand Teachers Council standards and the specific educational goals of the Auckland region, which emphasizes high-quality learning outcomes for all students, including a strong focus on Māori and Pasifika achievement.</w:t>
      </w:r>
    </w:p>
    <w:p>
      <w:pPr>
        <w:pStyle w:val="BodyText"/>
      </w:pPr>
      <w:r>
        <w:t xml:space="preserve">The purpose of this peer review is to provide constructive feedback, identify areas of strength, and suggest strategies for continuous improvement. It is grounded in the principles of collaborative inquiry and professional growth, ensuring that the teacher’s practice contributes positively to the school’s vision and the broader educational landscape of Auckland.</w:t>
      </w:r>
    </w:p>
    <w:bookmarkEnd w:id="21"/>
    <w:bookmarkStart w:id="22" w:name="context-of-the-review"/>
    <w:p>
      <w:pPr>
        <w:pStyle w:val="Heading2"/>
      </w:pPr>
      <w:r>
        <w:t xml:space="preserve">2. Context of the Review</w:t>
      </w:r>
    </w:p>
    <w:p>
      <w:pPr>
        <w:pStyle w:val="FirstParagraph"/>
      </w:pPr>
      <w:r>
        <w:t xml:space="preserve">The review was conducted over a period of four weeks, involving classroom observations, analysis of student work, and reflective discussions with the teacher. The school is located in a diverse urban area of Auckland, reflecting the multicultural nature of the city. The teacher is responsible for delivering the National Curriculum in a secondary subject area, catering to students from Years 9 to 13.</w:t>
      </w:r>
    </w:p>
    <w:p>
      <w:pPr>
        <w:pStyle w:val="BodyText"/>
      </w:pPr>
      <w:r>
        <w:t xml:space="preserve">The review considers the teacher’s ability to implement culturally responsive pedagogy, integrate digital technologies, and foster inclusive learning environments. These aspects are particularly relevant in Auckland, where schools serve a wide range of cultural and linguistic backgrounds.</w:t>
      </w:r>
    </w:p>
    <w:bookmarkEnd w:id="22"/>
    <w:bookmarkStart w:id="27" w:name="X88a338f68a9756222a8b7a05d1ccab95fd03d81"/>
    <w:p>
      <w:pPr>
        <w:pStyle w:val="Heading2"/>
      </w:pPr>
      <w:r>
        <w:t xml:space="preserve">3. Evaluation Against Professional Standards</w:t>
      </w:r>
    </w:p>
    <w:bookmarkStart w:id="23" w:name="professional-knowledge-and-understanding"/>
    <w:p>
      <w:pPr>
        <w:pStyle w:val="Heading3"/>
      </w:pPr>
      <w:r>
        <w:t xml:space="preserve">3.1 Professional Knowledge and Understanding</w:t>
      </w:r>
    </w:p>
    <w:p>
      <w:pPr>
        <w:pStyle w:val="FirstParagraph"/>
      </w:pPr>
      <w:r>
        <w:t xml:space="preserve">The teacher demonstrates a strong understanding of the subject matter and the New Zealand Curriculum. Lesson plans are well-structured, with clear learning intentions and success criteria that align with curriculum levels. The teacher effectively differentiates instruction to meet the diverse needs of students, including those with additional learning needs and English language learners.</w:t>
      </w:r>
    </w:p>
    <w:p>
      <w:pPr>
        <w:pStyle w:val="BodyText"/>
      </w:pPr>
      <w:r>
        <w:t xml:space="preserve">In the context of Auckland’s multicultural environment, the teacher shows a commendable effort to incorporate local and indigenous perspectives into the curriculum. This approach not only enriches the learning experience but also supports the development of students’ cultural identity and understanding.</w:t>
      </w:r>
    </w:p>
    <w:bookmarkEnd w:id="23"/>
    <w:bookmarkStart w:id="24" w:name="professional-practice"/>
    <w:p>
      <w:pPr>
        <w:pStyle w:val="Heading3"/>
      </w:pPr>
      <w:r>
        <w:t xml:space="preserve">3.2 Professional Practice</w:t>
      </w:r>
    </w:p>
    <w:p>
      <w:pPr>
        <w:pStyle w:val="FirstParagraph"/>
      </w:pPr>
      <w:r>
        <w:t xml:space="preserve">Classroom observations reveal that the teacher employs a variety of teaching strategies to engage students and promote active learning. The use of collaborative learning tasks, inquiry-based projects, and formative assessment techniques is evident. The teacher creates a positive and respectful classroom climate, where students feel safe to express their ideas and take intellectual risks.</w:t>
      </w:r>
    </w:p>
    <w:p>
      <w:pPr>
        <w:pStyle w:val="BodyText"/>
      </w:pPr>
      <w:r>
        <w:t xml:space="preserve">The teacher effectively manages classroom behavior, using clear expectations and consistent routines. This contributes to a productive learning environment, which is essential for achieving high standards in a secondary school setting in Auckland.</w:t>
      </w:r>
    </w:p>
    <w:bookmarkEnd w:id="24"/>
    <w:bookmarkStart w:id="25" w:name="professional-relationships"/>
    <w:p>
      <w:pPr>
        <w:pStyle w:val="Heading3"/>
      </w:pPr>
      <w:r>
        <w:t xml:space="preserve">3.3 Professional Relationships</w:t>
      </w:r>
    </w:p>
    <w:p>
      <w:pPr>
        <w:pStyle w:val="FirstParagraph"/>
      </w:pPr>
      <w:r>
        <w:t xml:space="preserve">The teacher collaborates well with colleagues, participating actively in professional learning communities and contributing to departmental planning. Feedback from peers indicates that the teacher is supportive, approachable, and willing to share best practices.</w:t>
      </w:r>
    </w:p>
    <w:p>
      <w:pPr>
        <w:pStyle w:val="BodyText"/>
      </w:pPr>
      <w:r>
        <w:t xml:space="preserve">Relationships with students are positive and respectful. The teacher shows genuine care for students’ well-being and academic progress, which is particularly important in a diverse urban context like Auckland.</w:t>
      </w:r>
    </w:p>
    <w:bookmarkEnd w:id="25"/>
    <w:bookmarkStart w:id="26" w:name="professional-ethics-and-responsibilities"/>
    <w:p>
      <w:pPr>
        <w:pStyle w:val="Heading3"/>
      </w:pPr>
      <w:r>
        <w:t xml:space="preserve">3.4 Professional Ethics and Responsibilities</w:t>
      </w:r>
    </w:p>
    <w:p>
      <w:pPr>
        <w:pStyle w:val="FirstParagraph"/>
      </w:pPr>
      <w:r>
        <w:t xml:space="preserve">The teacher upholds the ethical standards expected of educators in New Zealand, including confidentiality, fairness, and integrity. There is a clear commitment to promoting equity and inclusion, ensuring that all students have access to high-quality learning opportunities.</w:t>
      </w:r>
    </w:p>
    <w:bookmarkEnd w:id="26"/>
    <w:bookmarkEnd w:id="27"/>
    <w:bookmarkStart w:id="28" w:name="strengths"/>
    <w:p>
      <w:pPr>
        <w:pStyle w:val="Heading2"/>
      </w:pPr>
      <w:r>
        <w:t xml:space="preserve">4. Strengths</w:t>
      </w:r>
    </w:p>
    <w:p>
      <w:pPr>
        <w:numPr>
          <w:ilvl w:val="0"/>
          <w:numId w:val="1001"/>
        </w:numPr>
        <w:pStyle w:val="Compact"/>
      </w:pPr>
      <w:r>
        <w:t xml:space="preserve">Strong subject knowledge and curriculum understanding.</w:t>
      </w:r>
    </w:p>
    <w:p>
      <w:pPr>
        <w:numPr>
          <w:ilvl w:val="0"/>
          <w:numId w:val="1001"/>
        </w:numPr>
        <w:pStyle w:val="Compact"/>
      </w:pPr>
      <w:r>
        <w:t xml:space="preserve">Effective use of differentiated instruction to meet diverse student needs.</w:t>
      </w:r>
    </w:p>
    <w:p>
      <w:pPr>
        <w:numPr>
          <w:ilvl w:val="0"/>
          <w:numId w:val="1001"/>
        </w:numPr>
        <w:pStyle w:val="Compact"/>
      </w:pPr>
      <w:r>
        <w:t xml:space="preserve">Positive classroom management and student engagement strategies.</w:t>
      </w:r>
    </w:p>
    <w:p>
      <w:pPr>
        <w:numPr>
          <w:ilvl w:val="0"/>
          <w:numId w:val="1001"/>
        </w:numPr>
        <w:pStyle w:val="Compact"/>
      </w:pPr>
      <w:r>
        <w:t xml:space="preserve">Commitment to culturally responsive teaching practices.</w:t>
      </w:r>
    </w:p>
    <w:p>
      <w:pPr>
        <w:numPr>
          <w:ilvl w:val="0"/>
          <w:numId w:val="1001"/>
        </w:numPr>
        <w:pStyle w:val="Compact"/>
      </w:pPr>
      <w:r>
        <w:t xml:space="preserve">Collaborative approach to professional development and teamwork.</w:t>
      </w:r>
    </w:p>
    <w:bookmarkEnd w:id="28"/>
    <w:bookmarkStart w:id="29" w:name="areas-for-improvement"/>
    <w:p>
      <w:pPr>
        <w:pStyle w:val="Heading2"/>
      </w:pPr>
      <w:r>
        <w:t xml:space="preserve">5. Areas for Improvement</w:t>
      </w:r>
    </w:p>
    <w:p>
      <w:pPr>
        <w:numPr>
          <w:ilvl w:val="0"/>
          <w:numId w:val="1002"/>
        </w:numPr>
        <w:pStyle w:val="Compact"/>
      </w:pPr>
      <w:r>
        <w:t xml:space="preserve">Further integration of digital technologies to enhance student learning and assessment.</w:t>
      </w:r>
    </w:p>
    <w:p>
      <w:pPr>
        <w:numPr>
          <w:ilvl w:val="0"/>
          <w:numId w:val="1002"/>
        </w:numPr>
        <w:pStyle w:val="Compact"/>
      </w:pPr>
      <w:r>
        <w:t xml:space="preserve">Increased use of data-driven instruction to inform teaching practices and support student achievement.</w:t>
      </w:r>
    </w:p>
    <w:p>
      <w:pPr>
        <w:numPr>
          <w:ilvl w:val="0"/>
          <w:numId w:val="1002"/>
        </w:numPr>
        <w:pStyle w:val="Compact"/>
      </w:pPr>
      <w:r>
        <w:t xml:space="preserve">Opportunities to deepen understanding of Te Tiriti o Waitangi and its implications for teaching and learning.</w:t>
      </w:r>
    </w:p>
    <w:p>
      <w:pPr>
        <w:numPr>
          <w:ilvl w:val="0"/>
          <w:numId w:val="1002"/>
        </w:numPr>
        <w:pStyle w:val="Compact"/>
      </w:pPr>
      <w:r>
        <w:t xml:space="preserve">Development of more explicit strategies for supporting Pasifika students’ engagement and achievement.</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support the ongoing professional growth of the Teacher Secondary:</w:t>
      </w:r>
    </w:p>
    <w:p>
      <w:pPr>
        <w:numPr>
          <w:ilvl w:val="0"/>
          <w:numId w:val="1003"/>
        </w:numPr>
        <w:pStyle w:val="Compact"/>
      </w:pPr>
      <w:r>
        <w:t xml:space="preserve">Engage in professional learning focused on digital pedagogy and the use of learning management systems to enhance student engagement and assessment.</w:t>
      </w:r>
    </w:p>
    <w:p>
      <w:pPr>
        <w:numPr>
          <w:ilvl w:val="0"/>
          <w:numId w:val="1003"/>
        </w:numPr>
        <w:pStyle w:val="Compact"/>
      </w:pPr>
      <w:r>
        <w:t xml:space="preserve">Participate in school-wide initiatives aimed at improving Māori and Pasifika student outcomes, including workshops on culturally responsive teaching and assessment.</w:t>
      </w:r>
    </w:p>
    <w:p>
      <w:pPr>
        <w:numPr>
          <w:ilvl w:val="0"/>
          <w:numId w:val="1003"/>
        </w:numPr>
        <w:pStyle w:val="Compact"/>
      </w:pPr>
      <w:r>
        <w:t xml:space="preserve">Utilize student achievement data more systematically to inform instructional decisions and target interventions.</w:t>
      </w:r>
    </w:p>
    <w:p>
      <w:pPr>
        <w:numPr>
          <w:ilvl w:val="0"/>
          <w:numId w:val="1003"/>
        </w:numPr>
        <w:pStyle w:val="Compact"/>
      </w:pPr>
      <w:r>
        <w:t xml:space="preserve">Seek opportunities for collaborative planning with colleagues to share best practices and develop innovative teaching strategies.</w:t>
      </w:r>
    </w:p>
    <w:p>
      <w:pPr>
        <w:numPr>
          <w:ilvl w:val="0"/>
          <w:numId w:val="1003"/>
        </w:numPr>
        <w:pStyle w:val="Compact"/>
      </w:pPr>
      <w:r>
        <w:t xml:space="preserve">Reflect regularly on teaching practice and seek feedback from students, peers, and leaders to drive continuous improvement.</w:t>
      </w:r>
    </w:p>
    <w:bookmarkEnd w:id="30"/>
    <w:bookmarkStart w:id="31" w:name="conclusion"/>
    <w:p>
      <w:pPr>
        <w:pStyle w:val="Heading2"/>
      </w:pPr>
      <w:r>
        <w:t xml:space="preserve">7. Conclusion</w:t>
      </w:r>
    </w:p>
    <w:p>
      <w:pPr>
        <w:pStyle w:val="FirstParagraph"/>
      </w:pPr>
      <w:r>
        <w:t xml:space="preserve">This Peer Review Report highlights the strengths and areas for growth of a Teacher Secondary in an Auckland school. The teacher demonstrates a strong commitment to professional practice, student learning, and cultural responsiveness. By addressing the identified areas for improvement and implementing the recommendations, the teacher will be well-positioned to continue making a positive impact on student achievement and well-being in the diverse educational context of New Zealand Auckland.</w:t>
      </w:r>
    </w:p>
    <w:bookmarkEnd w:id="31"/>
    <w:p>
      <w:pPr>
        <w:pStyle w:val="BodyText"/>
      </w:pPr>
      <w:r>
        <w:rPr>
          <w:bCs/>
          <w:b/>
        </w:rPr>
        <w:t xml:space="preserve">Reviewed by:</w:t>
      </w:r>
    </w:p>
    <w:p>
      <w:pPr>
        <w:pStyle w:val="BodyText"/>
      </w:pPr>
      <w:r>
        <w:t xml:space="preserve">Name: ________________________</w:t>
      </w:r>
    </w:p>
    <w:p>
      <w:pPr>
        <w:pStyle w:val="BodyText"/>
      </w:pPr>
      <w:r>
        <w:t xml:space="preserve">Role: ________________________</w:t>
      </w:r>
    </w:p>
    <w:p>
      <w:pPr>
        <w:pStyle w:val="BodyText"/>
      </w:pPr>
      <w:r>
        <w:t xml:space="preserve">Date: ________________________</w:t>
      </w:r>
    </w:p>
    <w:p>
      <w:pPr>
        <w:pStyle w:val="BodyText"/>
      </w:pPr>
      <w:r>
        <w:rPr>
          <w:bCs/>
          <w:b/>
        </w:rPr>
        <w:t xml:space="preserve">Teacher Secondary:</w:t>
      </w:r>
    </w:p>
    <w:p>
      <w:pPr>
        <w:pStyle w:val="BodyText"/>
      </w:pPr>
      <w:r>
        <w:t xml:space="preserve">Name: ________________________</w:t>
      </w:r>
    </w:p>
    <w:p>
      <w:pPr>
        <w:pStyle w:val="BodyText"/>
      </w:pPr>
      <w:r>
        <w:t xml:space="preserve">Role: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Auckland, New Zealand</dc:title>
  <dc:creator/>
  <dc:language>en</dc:language>
  <cp:keywords/>
  <dcterms:created xsi:type="dcterms:W3CDTF">2026-10-10T05:52:26Z</dcterms:created>
  <dcterms:modified xsi:type="dcterms:W3CDTF">2026-10-10T05:52:26Z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