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Professional Practice Review</w:t>
      </w:r>
    </w:p>
    <w:p>
      <w:pPr>
        <w:pStyle w:val="BodyText"/>
      </w:pPr>
      <w:r>
        <w:rPr>
          <w:bCs/>
          <w:b/>
        </w:rPr>
        <w:t xml:space="preserve">Location:</w:t>
      </w:r>
      <w:r>
        <w:t xml:space="preserve"> </w:t>
      </w:r>
      <w:r>
        <w:t xml:space="preserve">Wellington, New Zealand</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documentation of the professional practice review conducted for a Teacher Secondary within the Wellington region of New Zealand. The purpose of this review is to evaluate teaching effectiveness, alignment with the New Zealand Curriculum (NZC), and adherence to the Teaching Council of Aotearoa New Zealand's Code of Professional Responsibility and Standards for the Teaching Profession.</w:t>
      </w:r>
    </w:p>
    <w:p>
      <w:pPr>
        <w:pStyle w:val="BodyText"/>
      </w:pPr>
      <w:r>
        <w:t xml:space="preserve">In the context of Wellington’s diverse educational landscape, this review emphasizes culturally responsive pedagogy, inclusive practices, and the integration of Te Ao Māori principles. The review process is collaborative, evidence-based, and focused on continuous professional growth. It is designed to support the Teacher Secondary in refining their practice to meet the needs of secondary students in Wellington’s unique socio-cultural environment.</w:t>
      </w:r>
    </w:p>
    <w:bookmarkEnd w:id="21"/>
    <w:bookmarkStart w:id="22" w:name="reviewer-and-reviewee-information"/>
    <w:p>
      <w:pPr>
        <w:pStyle w:val="Heading2"/>
      </w:pPr>
      <w:r>
        <w:t xml:space="preserve">2. Reviewer and Reviewee Information</w:t>
      </w:r>
    </w:p>
    <w:p>
      <w:pPr>
        <w:pStyle w:val="FirstParagraph"/>
      </w:pPr>
      <w:r>
        <w:rPr>
          <w:bCs/>
          <w:b/>
        </w:rPr>
        <w:t xml:space="preserve">Reviewee:</w:t>
      </w:r>
      <w:r>
        <w:t xml:space="preserve"> </w:t>
      </w:r>
      <w:r>
        <w:t xml:space="preserve">[Teacher Secondary Name]</w:t>
      </w:r>
      <w:r>
        <w:br/>
      </w:r>
      <w:r>
        <w:rPr>
          <w:bCs/>
          <w:b/>
        </w:rPr>
        <w:t xml:space="preserve">Subject Area:</w:t>
      </w:r>
      <w:r>
        <w:t xml:space="preserve"> </w:t>
      </w:r>
      <w:r>
        <w:t xml:space="preserve">[e.g., English, Mathematics, Science]</w:t>
      </w:r>
      <w:r>
        <w:br/>
      </w:r>
      <w:r>
        <w:rPr>
          <w:bCs/>
          <w:b/>
        </w:rPr>
        <w:t xml:space="preserve">Year Levels:</w:t>
      </w:r>
      <w:r>
        <w:t xml:space="preserve"> </w:t>
      </w:r>
      <w:r>
        <w:t xml:space="preserve">[e.g., Years 9–13]</w:t>
      </w:r>
      <w:r>
        <w:br/>
      </w:r>
      <w:r>
        <w:rPr>
          <w:bCs/>
          <w:b/>
        </w:rPr>
        <w:t xml:space="preserve">School:</w:t>
      </w:r>
      <w:r>
        <w:t xml:space="preserve"> </w:t>
      </w:r>
      <w:r>
        <w:t xml:space="preserve">[School Name], Wellington</w:t>
      </w:r>
      <w:r>
        <w:br/>
      </w:r>
      <w:r>
        <w:rPr>
          <w:bCs/>
          <w:b/>
        </w:rPr>
        <w:t xml:space="preserve">Reviewer:</w:t>
      </w:r>
      <w:r>
        <w:t xml:space="preserve"> </w:t>
      </w:r>
      <w:r>
        <w:t xml:space="preserve">[Peer Reviewer Name], Senior Teacher / HOD</w:t>
      </w:r>
      <w:r>
        <w:br/>
      </w:r>
      <w:r>
        <w:rPr>
          <w:bCs/>
          <w:b/>
        </w:rPr>
        <w:t xml:space="preserve">Review Period:</w:t>
      </w:r>
      <w:r>
        <w:t xml:space="preserve"> </w:t>
      </w:r>
      <w:r>
        <w:t xml:space="preserve">[Start Date] to [End Date]</w:t>
      </w:r>
    </w:p>
    <w:bookmarkEnd w:id="22"/>
    <w:bookmarkStart w:id="23" w:name="methodology"/>
    <w:p>
      <w:pPr>
        <w:pStyle w:val="Heading2"/>
      </w:pPr>
      <w:r>
        <w:t xml:space="preserve">3. Methodology</w:t>
      </w:r>
    </w:p>
    <w:p>
      <w:pPr>
        <w:pStyle w:val="FirstParagraph"/>
      </w:pPr>
      <w:r>
        <w:t xml:space="preserve">This Peer Review Report was compiled using a range of evidence-gathering methods consistent with best practices in New Zealand secondary education. These methods included:</w:t>
      </w:r>
    </w:p>
    <w:p>
      <w:pPr>
        <w:numPr>
          <w:ilvl w:val="0"/>
          <w:numId w:val="1001"/>
        </w:numPr>
        <w:pStyle w:val="Compact"/>
      </w:pPr>
      <w:r>
        <w:t xml:space="preserve">Classroom observations (formal and informal)</w:t>
      </w:r>
    </w:p>
    <w:p>
      <w:pPr>
        <w:numPr>
          <w:ilvl w:val="0"/>
          <w:numId w:val="1001"/>
        </w:numPr>
        <w:pStyle w:val="Compact"/>
      </w:pPr>
      <w:r>
        <w:t xml:space="preserve">Review of lesson plans, assessment tasks, and student work samples</w:t>
      </w:r>
    </w:p>
    <w:p>
      <w:pPr>
        <w:numPr>
          <w:ilvl w:val="0"/>
          <w:numId w:val="1001"/>
        </w:numPr>
        <w:pStyle w:val="Compact"/>
      </w:pPr>
      <w:r>
        <w:t xml:space="preserve">Analysis of student achievement data and progress reports</w:t>
      </w:r>
    </w:p>
    <w:p>
      <w:pPr>
        <w:numPr>
          <w:ilvl w:val="0"/>
          <w:numId w:val="1001"/>
        </w:numPr>
        <w:pStyle w:val="Compact"/>
      </w:pPr>
      <w:r>
        <w:t xml:space="preserve">Interviews with the Teacher Secondary, students, and colleagues</w:t>
      </w:r>
    </w:p>
    <w:p>
      <w:pPr>
        <w:numPr>
          <w:ilvl w:val="0"/>
          <w:numId w:val="1001"/>
        </w:numPr>
        <w:pStyle w:val="Compact"/>
      </w:pPr>
      <w:r>
        <w:t xml:space="preserve">Self-reflection documents provided by the Teacher Secondary</w:t>
      </w:r>
    </w:p>
    <w:p>
      <w:pPr>
        <w:pStyle w:val="FirstParagraph"/>
      </w:pPr>
      <w:r>
        <w:t xml:space="preserve">All evidence was collected in accordance with the school’s professional development policies and the expectations of the Wellington Regional Office of the Ministry of Education.</w:t>
      </w:r>
    </w:p>
    <w:bookmarkEnd w:id="23"/>
    <w:bookmarkStart w:id="24" w:name="strengths-identified"/>
    <w:p>
      <w:pPr>
        <w:pStyle w:val="Heading2"/>
      </w:pPr>
      <w:r>
        <w:t xml:space="preserve">4. Strengths Identified</w:t>
      </w:r>
    </w:p>
    <w:p>
      <w:pPr>
        <w:pStyle w:val="FirstParagraph"/>
      </w:pPr>
      <w:r>
        <w:t xml:space="preserve">The Teacher Secondary demonstrated several notable strengths during the review period:</w:t>
      </w:r>
    </w:p>
    <w:p>
      <w:pPr>
        <w:numPr>
          <w:ilvl w:val="0"/>
          <w:numId w:val="1002"/>
        </w:numPr>
        <w:pStyle w:val="Compact"/>
      </w:pPr>
      <w:r>
        <w:rPr>
          <w:bCs/>
          <w:b/>
        </w:rPr>
        <w:t xml:space="preserve">Curriculum Alignment:</w:t>
      </w:r>
      <w:r>
        <w:t xml:space="preserve"> </w:t>
      </w:r>
      <w:r>
        <w:t xml:space="preserve">Lessons were well-aligned with the New Zealand Curriculum and relevant NCEA achievement standards. The Teacher Secondary showed a clear understanding of curriculum intent and successfully translated this into engaging learning experiences.</w:t>
      </w:r>
    </w:p>
    <w:p>
      <w:pPr>
        <w:numPr>
          <w:ilvl w:val="0"/>
          <w:numId w:val="1002"/>
        </w:numPr>
        <w:pStyle w:val="Compact"/>
      </w:pPr>
      <w:r>
        <w:rPr>
          <w:bCs/>
          <w:b/>
        </w:rPr>
        <w:t xml:space="preserve">Student Engagement:</w:t>
      </w:r>
      <w:r>
        <w:t xml:space="preserve"> </w:t>
      </w:r>
      <w:r>
        <w:t xml:space="preserve">High levels of student engagement were observed, particularly through the use of collaborative learning strategies and real-world contexts relevant to Wellington students.</w:t>
      </w:r>
    </w:p>
    <w:p>
      <w:pPr>
        <w:numPr>
          <w:ilvl w:val="0"/>
          <w:numId w:val="1002"/>
        </w:numPr>
        <w:pStyle w:val="Compact"/>
      </w:pPr>
      <w:r>
        <w:rPr>
          <w:bCs/>
          <w:b/>
        </w:rPr>
        <w:t xml:space="preserve">Culturally Responsive Practice:</w:t>
      </w:r>
      <w:r>
        <w:t xml:space="preserve"> </w:t>
      </w:r>
      <w:r>
        <w:t xml:space="preserve">The Teacher Secondary actively incorporated Māori perspectives and local Wellington contexts into their teaching, fostering an inclusive classroom environment that respects diverse student backgrounds.</w:t>
      </w:r>
    </w:p>
    <w:p>
      <w:pPr>
        <w:numPr>
          <w:ilvl w:val="0"/>
          <w:numId w:val="1002"/>
        </w:numPr>
        <w:pStyle w:val="Compact"/>
      </w:pPr>
      <w:r>
        <w:rPr>
          <w:bCs/>
          <w:b/>
        </w:rPr>
        <w:t xml:space="preserve">Assessment for Learning:</w:t>
      </w:r>
      <w:r>
        <w:t xml:space="preserve"> </w:t>
      </w:r>
      <w:r>
        <w:t xml:space="preserve">Effective use of formative assessment strategies was evident, with timely feedback provided to students to support their learning progress.</w:t>
      </w:r>
    </w:p>
    <w:p>
      <w:pPr>
        <w:numPr>
          <w:ilvl w:val="0"/>
          <w:numId w:val="1002"/>
        </w:numPr>
        <w:pStyle w:val="Compact"/>
      </w:pPr>
      <w:r>
        <w:rPr>
          <w:bCs/>
          <w:b/>
        </w:rPr>
        <w:t xml:space="preserve">Professional Collaboration:</w:t>
      </w:r>
      <w:r>
        <w:t xml:space="preserve"> </w:t>
      </w:r>
      <w:r>
        <w:t xml:space="preserve">The Teacher Secondary actively participated in professional learning communities and contributed positively to departmental planning and school-wide initiatives.</w:t>
      </w:r>
    </w:p>
    <w:bookmarkEnd w:id="24"/>
    <w:bookmarkStart w:id="25" w:name="areas-for-development"/>
    <w:p>
      <w:pPr>
        <w:pStyle w:val="Heading2"/>
      </w:pPr>
      <w:r>
        <w:t xml:space="preserve">5. Areas for Development</w:t>
      </w:r>
    </w:p>
    <w:p>
      <w:pPr>
        <w:pStyle w:val="FirstParagraph"/>
      </w:pPr>
      <w:r>
        <w:t xml:space="preserve">While the Teacher Secondary demonstrated strong practice in many areas, the following opportunities for growth were identified:</w:t>
      </w:r>
    </w:p>
    <w:p>
      <w:pPr>
        <w:numPr>
          <w:ilvl w:val="0"/>
          <w:numId w:val="1003"/>
        </w:numPr>
        <w:pStyle w:val="Compact"/>
      </w:pPr>
      <w:r>
        <w:rPr>
          <w:bCs/>
          <w:b/>
        </w:rPr>
        <w:t xml:space="preserve">Differentiation for Diverse Learners:</w:t>
      </w:r>
      <w:r>
        <w:t xml:space="preserve"> </w:t>
      </w:r>
      <w:r>
        <w:t xml:space="preserve">Further development is needed in differentiating instruction to better support students with diverse learning needs, including English language learners and students with additional learning support requirements.</w:t>
      </w:r>
    </w:p>
    <w:p>
      <w:pPr>
        <w:numPr>
          <w:ilvl w:val="0"/>
          <w:numId w:val="1003"/>
        </w:numPr>
        <w:pStyle w:val="Compact"/>
      </w:pPr>
      <w:r>
        <w:rPr>
          <w:bCs/>
          <w:b/>
        </w:rPr>
        <w:t xml:space="preserve">Use of Digital Technologies:</w:t>
      </w:r>
      <w:r>
        <w:t xml:space="preserve"> </w:t>
      </w:r>
      <w:r>
        <w:t xml:space="preserve">There is an opportunity to integrate digital tools more effectively to enhance student learning and prepare students for the digital demands of the modern world.</w:t>
      </w:r>
    </w:p>
    <w:p>
      <w:pPr>
        <w:numPr>
          <w:ilvl w:val="0"/>
          <w:numId w:val="1003"/>
        </w:numPr>
        <w:pStyle w:val="Compact"/>
      </w:pPr>
      <w:r>
        <w:rPr>
          <w:bCs/>
          <w:b/>
        </w:rPr>
        <w:t xml:space="preserve">Data-Driven Instruction:</w:t>
      </w:r>
      <w:r>
        <w:t xml:space="preserve"> </w:t>
      </w:r>
      <w:r>
        <w:t xml:space="preserve">While student achievement data is collected, there is room for improvement in using this data to inform instructional decisions and target interventions more precisely.</w:t>
      </w:r>
    </w:p>
    <w:p>
      <w:pPr>
        <w:numPr>
          <w:ilvl w:val="0"/>
          <w:numId w:val="1003"/>
        </w:numPr>
        <w:pStyle w:val="Compact"/>
      </w:pPr>
      <w:r>
        <w:rPr>
          <w:bCs/>
          <w:b/>
        </w:rPr>
        <w:t xml:space="preserve">Student Voice:</w:t>
      </w:r>
      <w:r>
        <w:t xml:space="preserve"> </w:t>
      </w:r>
      <w:r>
        <w:t xml:space="preserve">Increasing opportunities for students to provide feedback on their learning experiences and contribute to classroom decision-making could further enhance student agency and engagement.</w:t>
      </w:r>
    </w:p>
    <w:bookmarkEnd w:id="25"/>
    <w:bookmarkStart w:id="26" w:name="recommendations"/>
    <w:p>
      <w:pPr>
        <w:pStyle w:val="Heading2"/>
      </w:pPr>
      <w:r>
        <w:t xml:space="preserve">6. Recommendations</w:t>
      </w:r>
    </w:p>
    <w:p>
      <w:pPr>
        <w:pStyle w:val="FirstParagraph"/>
      </w:pPr>
      <w:r>
        <w:t xml:space="preserve">Based on the evidence gathered, the following recommendations are made to support the ongoing professional development of the Teacher Secondary:</w:t>
      </w:r>
    </w:p>
    <w:p>
      <w:pPr>
        <w:numPr>
          <w:ilvl w:val="0"/>
          <w:numId w:val="1004"/>
        </w:numPr>
        <w:pStyle w:val="Compact"/>
      </w:pPr>
      <w:r>
        <w:t xml:space="preserve">Engage in targeted professional learning focused on differentiated instruction and inclusive teaching strategies.</w:t>
      </w:r>
    </w:p>
    <w:p>
      <w:pPr>
        <w:numPr>
          <w:ilvl w:val="0"/>
          <w:numId w:val="1004"/>
        </w:numPr>
        <w:pStyle w:val="Compact"/>
      </w:pPr>
      <w:r>
        <w:t xml:space="preserve">Collaborate with the school’s digital learning coordinator to explore and implement effective digital teaching tools.</w:t>
      </w:r>
    </w:p>
    <w:p>
      <w:pPr>
        <w:numPr>
          <w:ilvl w:val="0"/>
          <w:numId w:val="1004"/>
        </w:numPr>
        <w:pStyle w:val="Compact"/>
      </w:pPr>
      <w:r>
        <w:t xml:space="preserve">Participate in data literacy workshops to enhance the ability to interpret and use student achievement data for instructional planning.</w:t>
      </w:r>
    </w:p>
    <w:p>
      <w:pPr>
        <w:numPr>
          <w:ilvl w:val="0"/>
          <w:numId w:val="1004"/>
        </w:numPr>
        <w:pStyle w:val="Compact"/>
      </w:pPr>
      <w:r>
        <w:t xml:space="preserve">Implement regular student feedback mechanisms, such as surveys or focus groups, to better understand student perspectives and adjust teaching practices accordingly.</w:t>
      </w:r>
    </w:p>
    <w:p>
      <w:pPr>
        <w:numPr>
          <w:ilvl w:val="0"/>
          <w:numId w:val="1004"/>
        </w:numPr>
        <w:pStyle w:val="Compact"/>
      </w:pPr>
      <w:r>
        <w:t xml:space="preserve">Continue to strengthen culturally responsive practices by engaging with local iwi and incorporating more place-based learning opportunities relevant to Wellington.</w:t>
      </w:r>
    </w:p>
    <w:bookmarkEnd w:id="26"/>
    <w:bookmarkStart w:id="27" w:name="conclusion"/>
    <w:p>
      <w:pPr>
        <w:pStyle w:val="Heading2"/>
      </w:pPr>
      <w:r>
        <w:t xml:space="preserve">7. Conclusion</w:t>
      </w:r>
    </w:p>
    <w:p>
      <w:pPr>
        <w:pStyle w:val="FirstParagraph"/>
      </w:pPr>
      <w:r>
        <w:t xml:space="preserve">This Peer Review Report provides a comprehensive overview of the Teacher Secondary’s professional practice within the Wellington context. The review highlights significant strengths in curriculum delivery, student engagement, and culturally responsive teaching. At the same time, it identifies clear areas for development that, if addressed, will further enhance the quality of teaching and learning.</w:t>
      </w:r>
    </w:p>
    <w:p>
      <w:pPr>
        <w:pStyle w:val="BodyText"/>
      </w:pPr>
      <w:r>
        <w:t xml:space="preserve">The Teacher Secondary is encouraged to view this report as a supportive tool for ongoing professional growth. By implementing the recommendations outlined herein, the Teacher Secondary will continue to contribute positively to the educational outcomes of secondary students in Wellington and uphold the high standards expected of teachers in Aotearoa New Zealand.</w:t>
      </w:r>
    </w:p>
    <w:bookmarkEnd w:id="27"/>
    <w:p>
      <w:pPr>
        <w:pStyle w:val="BodyText"/>
      </w:pPr>
      <w:r>
        <w:rPr>
          <w:bCs/>
          <w:b/>
        </w:rPr>
        <w:t xml:space="preserve">Reviewer Signature:</w:t>
      </w:r>
    </w:p>
    <w:p>
      <w:pPr>
        <w:pStyle w:val="BodyText"/>
      </w:pPr>
      <w:r>
        <w:rPr>
          <w:bCs/>
          <w:b/>
        </w:rPr>
        <w:t xml:space="preserve">Date:</w:t>
      </w:r>
      <w:r>
        <w:t xml:space="preserve"> </w:t>
      </w:r>
      <w:r>
        <w:t xml:space="preserve">______________________</w:t>
      </w:r>
    </w:p>
    <w:p>
      <w:pPr>
        <w:pStyle w:val="BodyText"/>
      </w:pPr>
      <w:r>
        <w:rPr>
          <w:bCs/>
          <w:b/>
        </w:rPr>
        <w:t xml:space="preserve">Teacher Secondary Signature:</w:t>
      </w:r>
    </w:p>
    <w:p>
      <w:pPr>
        <w:pStyle w:val="BodyText"/>
      </w:pPr>
      <w:r>
        <w:rPr>
          <w:bCs/>
          <w:b/>
        </w:rPr>
        <w:t xml:space="preserve">Date: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Wellington, New Zealand</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