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Lima,</w:t>
      </w:r>
      <w:r>
        <w:t xml:space="preserve"> </w:t>
      </w:r>
      <w:r>
        <w:t xml:space="preserve">Peru</w:t>
      </w:r>
    </w:p>
    <w:bookmarkStart w:id="34" w:name="peer-review-report"/>
    <w:p>
      <w:pPr>
        <w:pStyle w:val="Heading1"/>
      </w:pPr>
      <w:r>
        <w:t xml:space="preserve">PEER REVIEW REPORT</w:t>
      </w:r>
    </w:p>
    <w:bookmarkStart w:id="20" w:name="teacher-secondary---lima-peru"/>
    <w:p>
      <w:pPr>
        <w:pStyle w:val="Heading2"/>
      </w:pPr>
      <w:r>
        <w:t xml:space="preserve">Teacher Secondary - Lima, Peru</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Teacher Name:</w:t>
            </w:r>
            <w:r>
              <w:t xml:space="preserve"> </w:t>
            </w:r>
            <w:r>
              <w:t xml:space="preserve">[Insert Teacher Name]</w:t>
            </w:r>
          </w:p>
        </w:tc>
        <w:tc>
          <w:tcPr/>
          <w:p>
            <w:pPr>
              <w:pStyle w:val="Compact"/>
              <w:jc w:val="left"/>
            </w:pPr>
            <w:r>
              <w:rPr>
                <w:bCs/>
                <w:b/>
              </w:rPr>
              <w:t xml:space="preserve">Subject:</w:t>
            </w:r>
            <w:r>
              <w:t xml:space="preserve"> </w:t>
            </w:r>
            <w:r>
              <w:t xml:space="preserve">[Insert Subject]</w:t>
            </w:r>
          </w:p>
        </w:tc>
      </w:tr>
      <w:tr>
        <w:tc>
          <w:tcPr/>
          <w:p>
            <w:pPr>
              <w:pStyle w:val="Compact"/>
              <w:jc w:val="left"/>
            </w:pPr>
            <w:r>
              <w:rPr>
                <w:bCs/>
                <w:b/>
              </w:rPr>
              <w:t xml:space="preserve">School:</w:t>
            </w:r>
            <w:r>
              <w:t xml:space="preserve"> </w:t>
            </w:r>
            <w:r>
              <w:t xml:space="preserve">[Insert School Name]</w:t>
            </w:r>
          </w:p>
        </w:tc>
        <w:tc>
          <w:tcPr/>
          <w:p>
            <w:pPr>
              <w:pStyle w:val="Compact"/>
              <w:jc w:val="left"/>
            </w:pPr>
            <w:r>
              <w:rPr>
                <w:bCs/>
                <w:b/>
              </w:rPr>
              <w:t xml:space="preserve">Location:</w:t>
            </w:r>
            <w:r>
              <w:t xml:space="preserve"> </w:t>
            </w:r>
            <w:r>
              <w:t xml:space="preserve">Lima, Peru</w:t>
            </w:r>
          </w:p>
        </w:tc>
      </w:tr>
      <w:tr>
        <w:tc>
          <w:tcPr/>
          <w:p>
            <w:pPr>
              <w:pStyle w:val="Compact"/>
              <w:jc w:val="left"/>
            </w:pPr>
            <w:r>
              <w:rPr>
                <w:bCs/>
                <w:b/>
              </w:rPr>
              <w:t xml:space="preserve">Reviewer Name:</w:t>
            </w:r>
            <w:r>
              <w:t xml:space="preserve"> </w:t>
            </w:r>
            <w:r>
              <w:t xml:space="preserve">[Insert Reviewer Name]</w:t>
            </w:r>
          </w:p>
        </w:tc>
        <w:tc>
          <w:tcPr/>
          <w:p>
            <w:pPr>
              <w:pStyle w:val="Compact"/>
              <w:jc w:val="left"/>
            </w:pPr>
            <w:r>
              <w:rPr>
                <w:bCs/>
                <w:b/>
              </w:rPr>
              <w:t xml:space="preserve">Date of Observation:</w:t>
            </w:r>
            <w:r>
              <w:t xml:space="preserve"> </w:t>
            </w:r>
            <w:r>
              <w:t xml:space="preserve">[Insert Date]</w:t>
            </w:r>
          </w:p>
        </w:tc>
      </w:tr>
      <w:tr>
        <w:tc>
          <w:tcPr/>
          <w:p>
            <w:pPr>
              <w:pStyle w:val="Compact"/>
              <w:jc w:val="left"/>
            </w:pPr>
            <w:r>
              <w:rPr>
                <w:bCs/>
                <w:b/>
              </w:rPr>
              <w:t xml:space="preserve">Grade Level:</w:t>
            </w:r>
            <w:r>
              <w:t xml:space="preserve"> </w:t>
            </w:r>
            <w:r>
              <w:t xml:space="preserve">[Insert Grade]</w:t>
            </w:r>
          </w:p>
        </w:tc>
        <w:tc>
          <w:tcPr/>
          <w:p>
            <w:pPr>
              <w:pStyle w:val="Compact"/>
              <w:jc w:val="left"/>
            </w:pPr>
            <w:r>
              <w:rPr>
                <w:bCs/>
                <w:b/>
              </w:rPr>
              <w:t xml:space="preserve">Duration:</w:t>
            </w:r>
            <w:r>
              <w:t xml:space="preserve"> </w:t>
            </w:r>
            <w:r>
              <w:t xml:space="preserve">[Insert Duration]</w:t>
            </w:r>
          </w:p>
        </w:tc>
      </w:tr>
    </w:tbl>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of a Teacher Secondary within the educational context of Lima, Peru. The purpose of this document is to provide constructive feedback, identify strengths, and suggest areas for improvement in alignment with the national curriculum standards established by the Ministry of Education of Peru (MINEDU). The review focuses on pedagogical practices, classroom management, student engagement, and adherence to the competencies outlined in the Curriculum Nacional de la Educación Básica (CNEB).</w:t>
      </w:r>
    </w:p>
    <w:p>
      <w:pPr>
        <w:pStyle w:val="BodyText"/>
      </w:pPr>
      <w:r>
        <w:t xml:space="preserve">The review process is conducted collaboratively to foster professional growth and ensure that teaching practices in Lima's secondary schools meet the highest standards of quality education. This report reflects observations made during a classroom session and subsequent discussions with the teacher.</w:t>
      </w:r>
    </w:p>
    <w:bookmarkEnd w:id="21"/>
    <w:bookmarkStart w:id="22" w:name="evaluation-criteria"/>
    <w:p>
      <w:pPr>
        <w:pStyle w:val="Heading2"/>
      </w:pPr>
      <w:r>
        <w:t xml:space="preserve">2. Evaluation Criteria</w:t>
      </w:r>
    </w:p>
    <w:p>
      <w:pPr>
        <w:pStyle w:val="FirstParagraph"/>
      </w:pPr>
      <w:r>
        <w:t xml:space="preserve">The evaluation is based on the following key criteria, which are aligned with the standards for Teacher Secondary professionals in Peru:</w:t>
      </w:r>
    </w:p>
    <w:p>
      <w:pPr>
        <w:numPr>
          <w:ilvl w:val="0"/>
          <w:numId w:val="1001"/>
        </w:numPr>
        <w:pStyle w:val="Compact"/>
      </w:pPr>
      <w:r>
        <w:t xml:space="preserve">Planning and Preparation</w:t>
      </w:r>
    </w:p>
    <w:p>
      <w:pPr>
        <w:numPr>
          <w:ilvl w:val="0"/>
          <w:numId w:val="1001"/>
        </w:numPr>
        <w:pStyle w:val="Compact"/>
      </w:pPr>
      <w:r>
        <w:t xml:space="preserve">Classroom Environment and Management</w:t>
      </w:r>
    </w:p>
    <w:p>
      <w:pPr>
        <w:numPr>
          <w:ilvl w:val="0"/>
          <w:numId w:val="1001"/>
        </w:numPr>
        <w:pStyle w:val="Compact"/>
      </w:pPr>
      <w:r>
        <w:t xml:space="preserve">Instructional Strategies and Content Delivery</w:t>
      </w:r>
    </w:p>
    <w:p>
      <w:pPr>
        <w:numPr>
          <w:ilvl w:val="0"/>
          <w:numId w:val="1001"/>
        </w:numPr>
        <w:pStyle w:val="Compact"/>
      </w:pPr>
      <w:r>
        <w:t xml:space="preserve">Student Engagement and Participation</w:t>
      </w:r>
    </w:p>
    <w:p>
      <w:pPr>
        <w:numPr>
          <w:ilvl w:val="0"/>
          <w:numId w:val="1001"/>
        </w:numPr>
        <w:pStyle w:val="Compact"/>
      </w:pPr>
      <w:r>
        <w:t xml:space="preserve">Assessment and Feedback</w:t>
      </w:r>
    </w:p>
    <w:p>
      <w:pPr>
        <w:numPr>
          <w:ilvl w:val="0"/>
          <w:numId w:val="1001"/>
        </w:numPr>
        <w:pStyle w:val="Compact"/>
      </w:pPr>
      <w:r>
        <w:t xml:space="preserve">Professionalism and Collaboration</w:t>
      </w:r>
    </w:p>
    <w:bookmarkEnd w:id="22"/>
    <w:bookmarkStart w:id="29" w:name="detailed-observations"/>
    <w:p>
      <w:pPr>
        <w:pStyle w:val="Heading2"/>
      </w:pPr>
      <w:r>
        <w:t xml:space="preserve">3. Detailed Observations</w:t>
      </w:r>
    </w:p>
    <w:bookmarkStart w:id="23" w:name="planning-and-preparation"/>
    <w:p>
      <w:pPr>
        <w:pStyle w:val="Heading3"/>
      </w:pPr>
      <w:r>
        <w:t xml:space="preserve">3.1 Planning and Preparation</w:t>
      </w:r>
    </w:p>
    <w:p>
      <w:pPr>
        <w:pStyle w:val="FirstParagraph"/>
      </w:pPr>
      <w:r>
        <w:t xml:space="preserve">The Teacher Secondary demonstrated thorough preparation for the lesson. The lesson plan was aligned with the CNEB competencies and included clear learning objectives. Materials and resources were organized and ready for use, reflecting an understanding of the diverse needs of students in Lima. The integration of local context and cultural relevance into the lesson content was evident, which is essential for engaging students in Peru.</w:t>
      </w:r>
    </w:p>
    <w:bookmarkEnd w:id="23"/>
    <w:bookmarkStart w:id="24" w:name="classroom-environment-and-management"/>
    <w:p>
      <w:pPr>
        <w:pStyle w:val="Heading3"/>
      </w:pPr>
      <w:r>
        <w:t xml:space="preserve">3.2 Classroom Environment and Management</w:t>
      </w:r>
    </w:p>
    <w:p>
      <w:pPr>
        <w:pStyle w:val="FirstParagraph"/>
      </w:pPr>
      <w:r>
        <w:t xml:space="preserve">The classroom environment was conducive to learning, with clear rules and expectations communicated to students. The Teacher Secondary maintained a respectful and inclusive atmosphere, promoting positive interactions among students. Classroom management strategies were effective, with minimal disruptions and efficient transitions between activities. The teacher's ability to manage a diverse group of students in a Lima secondary school setting was commendable.</w:t>
      </w:r>
    </w:p>
    <w:bookmarkEnd w:id="24"/>
    <w:bookmarkStart w:id="25" w:name="Xa4f610f2243eb9e8b4d0df313ceaf431ecdf6db"/>
    <w:p>
      <w:pPr>
        <w:pStyle w:val="Heading3"/>
      </w:pPr>
      <w:r>
        <w:t xml:space="preserve">3.3 Instructional Strategies and Content Delivery</w:t>
      </w:r>
    </w:p>
    <w:p>
      <w:pPr>
        <w:pStyle w:val="FirstParagraph"/>
      </w:pPr>
      <w:r>
        <w:t xml:space="preserve">A variety of instructional strategies were employed, including direct instruction, group work, and interactive discussions. The Teacher Secondary used clear explanations and provided relevant examples that connected to students' everyday experiences in Lima. The use of technology and multimedia resources enhanced the learning experience. However, there is room for incorporating more differentiated instruction to address varying student abilities.</w:t>
      </w:r>
    </w:p>
    <w:bookmarkEnd w:id="25"/>
    <w:bookmarkStart w:id="26" w:name="student-engagement-and-participation"/>
    <w:p>
      <w:pPr>
        <w:pStyle w:val="Heading3"/>
      </w:pPr>
      <w:r>
        <w:t xml:space="preserve">3.4 Student Engagement and Participation</w:t>
      </w:r>
    </w:p>
    <w:p>
      <w:pPr>
        <w:pStyle w:val="FirstParagraph"/>
      </w:pPr>
      <w:r>
        <w:t xml:space="preserve">Students were actively engaged throughout the lesson. The Teacher Secondary encouraged participation through questioning techniques and collaborative tasks. Most students demonstrated understanding and enthusiasm for the subject matter. The teacher successfully fostered a sense of community and mutual respect, which is vital in the multicultural context of Lima.</w:t>
      </w:r>
    </w:p>
    <w:bookmarkEnd w:id="26"/>
    <w:bookmarkStart w:id="27" w:name="assessment-and-feedback"/>
    <w:p>
      <w:pPr>
        <w:pStyle w:val="Heading3"/>
      </w:pPr>
      <w:r>
        <w:t xml:space="preserve">3.5 Assessment and Feedback</w:t>
      </w:r>
    </w:p>
    <w:p>
      <w:pPr>
        <w:pStyle w:val="FirstParagraph"/>
      </w:pPr>
      <w:r>
        <w:t xml:space="preserve">Formative assessment strategies were used effectively to monitor student understanding. The Teacher Secondary provided timely and constructive feedback, helping students to improve their performance. However, it is recommended to incorporate more varied assessment methods, such as peer assessment and self-assessment, to promote student autonomy and deeper learning.</w:t>
      </w:r>
    </w:p>
    <w:bookmarkEnd w:id="27"/>
    <w:bookmarkStart w:id="28" w:name="professionalism-and-collaboration"/>
    <w:p>
      <w:pPr>
        <w:pStyle w:val="Heading3"/>
      </w:pPr>
      <w:r>
        <w:t xml:space="preserve">3.6 Professionalism and Collaboration</w:t>
      </w:r>
    </w:p>
    <w:p>
      <w:pPr>
        <w:pStyle w:val="FirstParagraph"/>
      </w:pPr>
      <w:r>
        <w:t xml:space="preserve">The Teacher Secondary exhibited a high level of professionalism, demonstrating commitment to continuous improvement and collaboration with colleagues. The teacher was open to feedback and actively participated in professional development activities. This collaborative approach is essential for enhancing educational quality in Lima's secondary schools.</w:t>
      </w:r>
    </w:p>
    <w:bookmarkEnd w:id="28"/>
    <w:bookmarkEnd w:id="29"/>
    <w:bookmarkStart w:id="30" w:name="strengths"/>
    <w:p>
      <w:pPr>
        <w:pStyle w:val="Heading2"/>
      </w:pPr>
      <w:r>
        <w:t xml:space="preserve">4. Strengths</w:t>
      </w:r>
    </w:p>
    <w:p>
      <w:pPr>
        <w:numPr>
          <w:ilvl w:val="0"/>
          <w:numId w:val="1002"/>
        </w:numPr>
        <w:pStyle w:val="Compact"/>
      </w:pPr>
      <w:r>
        <w:t xml:space="preserve">Strong alignment of lesson planning with national curriculum standards.</w:t>
      </w:r>
    </w:p>
    <w:p>
      <w:pPr>
        <w:numPr>
          <w:ilvl w:val="0"/>
          <w:numId w:val="1002"/>
        </w:numPr>
        <w:pStyle w:val="Compact"/>
      </w:pPr>
      <w:r>
        <w:t xml:space="preserve">Effective classroom management and positive learning environment.</w:t>
      </w:r>
    </w:p>
    <w:p>
      <w:pPr>
        <w:numPr>
          <w:ilvl w:val="0"/>
          <w:numId w:val="1002"/>
        </w:numPr>
        <w:pStyle w:val="Compact"/>
      </w:pPr>
      <w:r>
        <w:t xml:space="preserve">Use of diverse instructional strategies that engage students.</w:t>
      </w:r>
    </w:p>
    <w:p>
      <w:pPr>
        <w:numPr>
          <w:ilvl w:val="0"/>
          <w:numId w:val="1002"/>
        </w:numPr>
        <w:pStyle w:val="Compact"/>
      </w:pPr>
      <w:r>
        <w:t xml:space="preserve">High level of student participation and engagement.</w:t>
      </w:r>
    </w:p>
    <w:p>
      <w:pPr>
        <w:numPr>
          <w:ilvl w:val="0"/>
          <w:numId w:val="1002"/>
        </w:numPr>
        <w:pStyle w:val="Compact"/>
      </w:pPr>
      <w:r>
        <w:t xml:space="preserve">Professional attitude and willingness to collaborate and improve.</w:t>
      </w:r>
    </w:p>
    <w:bookmarkEnd w:id="30"/>
    <w:bookmarkStart w:id="31" w:name="areas-for-improvement"/>
    <w:p>
      <w:pPr>
        <w:pStyle w:val="Heading2"/>
      </w:pPr>
      <w:r>
        <w:t xml:space="preserve">5. Areas for Improvement</w:t>
      </w:r>
    </w:p>
    <w:p>
      <w:pPr>
        <w:numPr>
          <w:ilvl w:val="0"/>
          <w:numId w:val="1003"/>
        </w:numPr>
        <w:pStyle w:val="Compact"/>
      </w:pPr>
      <w:r>
        <w:t xml:space="preserve">Incorporate more differentiated instruction to address diverse student needs.</w:t>
      </w:r>
    </w:p>
    <w:p>
      <w:pPr>
        <w:numPr>
          <w:ilvl w:val="0"/>
          <w:numId w:val="1003"/>
        </w:numPr>
        <w:pStyle w:val="Compact"/>
      </w:pPr>
      <w:r>
        <w:t xml:space="preserve">Expand the use of varied assessment methods to promote student autonomy.</w:t>
      </w:r>
    </w:p>
    <w:p>
      <w:pPr>
        <w:numPr>
          <w:ilvl w:val="0"/>
          <w:numId w:val="1003"/>
        </w:numPr>
        <w:pStyle w:val="Compact"/>
      </w:pPr>
      <w:r>
        <w:t xml:space="preserve">Integrate more technology-enhanced learning activities.</w:t>
      </w:r>
    </w:p>
    <w:p>
      <w:pPr>
        <w:numPr>
          <w:ilvl w:val="0"/>
          <w:numId w:val="1003"/>
        </w:numPr>
        <w:pStyle w:val="Compact"/>
      </w:pPr>
      <w:r>
        <w:t xml:space="preserve">Provide more opportunities for student-led discussions and critical thinking.</w:t>
      </w:r>
    </w:p>
    <w:bookmarkEnd w:id="31"/>
    <w:bookmarkStart w:id="32" w:name="recommendations"/>
    <w:p>
      <w:pPr>
        <w:pStyle w:val="Heading2"/>
      </w:pPr>
      <w:r>
        <w:t xml:space="preserve">6. Recommendations</w:t>
      </w:r>
    </w:p>
    <w:p>
      <w:pPr>
        <w:pStyle w:val="FirstParagraph"/>
      </w:pPr>
      <w:r>
        <w:t xml:space="preserve">Based on the observations, the following recommendations are made to support the professional development of the Teacher Secondary in Lima, Peru:</w:t>
      </w:r>
    </w:p>
    <w:p>
      <w:pPr>
        <w:numPr>
          <w:ilvl w:val="0"/>
          <w:numId w:val="1004"/>
        </w:numPr>
        <w:pStyle w:val="Compact"/>
      </w:pPr>
      <w:r>
        <w:t xml:space="preserve">Attend workshops on differentiated instruction and inclusive education practices.</w:t>
      </w:r>
    </w:p>
    <w:p>
      <w:pPr>
        <w:numPr>
          <w:ilvl w:val="0"/>
          <w:numId w:val="1004"/>
        </w:numPr>
        <w:pStyle w:val="Compact"/>
      </w:pPr>
      <w:r>
        <w:t xml:space="preserve">Explore and implement alternative assessment strategies, such as portfolios and project-based assessments.</w:t>
      </w:r>
    </w:p>
    <w:p>
      <w:pPr>
        <w:numPr>
          <w:ilvl w:val="0"/>
          <w:numId w:val="1004"/>
        </w:numPr>
        <w:pStyle w:val="Compact"/>
      </w:pPr>
      <w:r>
        <w:t xml:space="preserve">Collaborate with colleagues to share best practices and innovative teaching methods.</w:t>
      </w:r>
    </w:p>
    <w:p>
      <w:pPr>
        <w:numPr>
          <w:ilvl w:val="0"/>
          <w:numId w:val="1004"/>
        </w:numPr>
        <w:pStyle w:val="Compact"/>
      </w:pPr>
      <w:r>
        <w:t xml:space="preserve">Utilize educational technology platforms to enhance student engagement and learning outcomes.</w:t>
      </w:r>
    </w:p>
    <w:p>
      <w:pPr>
        <w:numPr>
          <w:ilvl w:val="0"/>
          <w:numId w:val="1004"/>
        </w:numPr>
        <w:pStyle w:val="Compact"/>
      </w:pPr>
      <w:r>
        <w:t xml:space="preserve">Engage in reflective practice to continuously evaluate and improve teaching strategies.</w:t>
      </w:r>
    </w:p>
    <w:bookmarkEnd w:id="32"/>
    <w:bookmarkStart w:id="33" w:name="conclusion"/>
    <w:p>
      <w:pPr>
        <w:pStyle w:val="Heading2"/>
      </w:pPr>
      <w:r>
        <w:t xml:space="preserve">7. Conclusion</w:t>
      </w:r>
    </w:p>
    <w:p>
      <w:pPr>
        <w:pStyle w:val="FirstParagraph"/>
      </w:pPr>
      <w:r>
        <w:t xml:space="preserve">This Peer Review Report highlights the strengths and areas for growth of the Teacher Secondary in the context of Lima, Peru. The teacher demonstrates a strong commitment to providing quality education and fostering a positive learning environment. By implementing the recommended strategies, the teacher can further enhance their practice and contribute to the academic success of students in Peru's secondary education system.</w:t>
      </w:r>
    </w:p>
    <w:bookmarkEnd w:id="33"/>
    <w:p>
      <w:pPr>
        <w:pStyle w:val="BodyText"/>
      </w:pPr>
      <w:r>
        <w:rPr>
          <w:bCs/>
          <w:b/>
        </w:rPr>
        <w:t xml:space="preserve">Teacher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Lima, Peru</dc:title>
  <dc:creator/>
  <dc:language>en</dc:language>
  <cp:keywords/>
  <dcterms:created xsi:type="dcterms:W3CDTF">2026-10-10T10:54:46Z</dcterms:created>
  <dcterms:modified xsi:type="dcterms:W3CDTF">2026-10-10T10:54:46Z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