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Teacher</w:t>
      </w:r>
      <w:r>
        <w:t xml:space="preserve"> </w:t>
      </w:r>
      <w:r>
        <w:t xml:space="preserve">Secondary</w:t>
      </w:r>
      <w:r>
        <w:t xml:space="preserve"> </w:t>
      </w:r>
      <w:r>
        <w:t xml:space="preserve">-</w:t>
      </w:r>
      <w:r>
        <w:t xml:space="preserve"> </w:t>
      </w:r>
      <w:r>
        <w:t xml:space="preserve">Philippines</w:t>
      </w:r>
      <w:r>
        <w:t xml:space="preserve"> </w:t>
      </w:r>
      <w:r>
        <w:t xml:space="preserve">Manila</w:t>
      </w:r>
    </w:p>
    <w:bookmarkStart w:id="20" w:name="peer-review-report"/>
    <w:p>
      <w:pPr>
        <w:pStyle w:val="Heading1"/>
      </w:pPr>
      <w:r>
        <w:t xml:space="preserve">Peer Review Report</w:t>
      </w:r>
    </w:p>
    <w:p>
      <w:pPr>
        <w:pStyle w:val="FirstParagraph"/>
      </w:pPr>
      <w:r>
        <w:rPr>
          <w:bCs/>
          <w:b/>
        </w:rPr>
        <w:t xml:space="preserve">Institution:</w:t>
      </w:r>
      <w:r>
        <w:t xml:space="preserve"> </w:t>
      </w:r>
      <w:r>
        <w:t xml:space="preserve">[School Name], Philippines Manila</w:t>
      </w:r>
    </w:p>
    <w:p>
      <w:pPr>
        <w:pStyle w:val="BodyText"/>
      </w:pPr>
      <w:r>
        <w:rPr>
          <w:bCs/>
          <w:b/>
        </w:rPr>
        <w:t xml:space="preserve">Date of Review:</w:t>
      </w:r>
      <w:r>
        <w:t xml:space="preserve"> </w:t>
      </w:r>
      <w:r>
        <w:t xml:space="preserve">[Insert Date]</w:t>
      </w:r>
    </w:p>
    <w:p>
      <w:pPr>
        <w:pStyle w:val="BodyText"/>
      </w:pPr>
      <w:r>
        <w:rPr>
          <w:bCs/>
          <w:b/>
        </w:rPr>
        <w:t xml:space="preserve">Reviewer:</w:t>
      </w:r>
      <w:r>
        <w:t xml:space="preserve"> </w:t>
      </w:r>
      <w:r>
        <w:t xml:space="preserve">[Insert Reviewer Name]</w:t>
      </w:r>
    </w:p>
    <w:bookmarkEnd w:id="20"/>
    <w:bookmarkStart w:id="21" w:name="introduction"/>
    <w:p>
      <w:pPr>
        <w:pStyle w:val="Heading2"/>
      </w:pPr>
      <w:r>
        <w:t xml:space="preserve">Introduction</w:t>
      </w:r>
    </w:p>
    <w:p>
      <w:pPr>
        <w:pStyle w:val="FirstParagraph"/>
      </w:pPr>
      <w:r>
        <w:t xml:space="preserve">This Peer Review Report is designed to evaluate the professional performance of a Teacher Secondary within the educational framework of the Philippines Manila. The review aims to provide constructive feedback, identify areas of strength, and suggest improvements to enhance teaching practices and student outcomes. The evaluation is conducted in accordance with the standards set by the Department of Education (DepEd) and aligns with the goals of the K-12 curriculum.</w:t>
      </w:r>
    </w:p>
    <w:bookmarkEnd w:id="21"/>
    <w:bookmarkStart w:id="22" w:name="teacher-information"/>
    <w:p>
      <w:pPr>
        <w:pStyle w:val="Heading2"/>
      </w:pPr>
      <w:r>
        <w:t xml:space="preserve">Teacher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Name</w:t>
            </w:r>
          </w:p>
        </w:tc>
        <w:tc>
          <w:tcPr/>
          <w:p>
            <w:pPr>
              <w:pStyle w:val="Compact"/>
              <w:jc w:val="left"/>
            </w:pPr>
            <w:r>
              <w:t xml:space="preserve">[Insert Teacher's Name]</w:t>
            </w:r>
          </w:p>
        </w:tc>
      </w:tr>
      <w:tr>
        <w:tc>
          <w:tcPr/>
          <w:p>
            <w:pPr>
              <w:pStyle w:val="Compact"/>
              <w:jc w:val="left"/>
            </w:pPr>
            <w:r>
              <w:t xml:space="preserve">Position</w:t>
            </w:r>
          </w:p>
        </w:tc>
        <w:tc>
          <w:tcPr/>
          <w:p>
            <w:pPr>
              <w:pStyle w:val="Compact"/>
              <w:jc w:val="left"/>
            </w:pPr>
            <w:r>
              <w:t xml:space="preserve">Teacher Secondary</w:t>
            </w:r>
          </w:p>
        </w:tc>
      </w:tr>
      <w:tr>
        <w:tc>
          <w:tcPr/>
          <w:p>
            <w:pPr>
              <w:pStyle w:val="Compact"/>
              <w:jc w:val="left"/>
            </w:pPr>
            <w:r>
              <w:t xml:space="preserve">Subject Area</w:t>
            </w:r>
          </w:p>
        </w:tc>
        <w:tc>
          <w:tcPr/>
          <w:p>
            <w:pPr>
              <w:pStyle w:val="Compact"/>
              <w:jc w:val="left"/>
            </w:pPr>
            <w:r>
              <w:t xml:space="preserve">[Insert Subject Area]</w:t>
            </w:r>
          </w:p>
        </w:tc>
      </w:tr>
      <w:tr>
        <w:tc>
          <w:tcPr/>
          <w:p>
            <w:pPr>
              <w:pStyle w:val="Compact"/>
              <w:jc w:val="left"/>
            </w:pPr>
            <w:r>
              <w:t xml:space="preserve">Grade Level</w:t>
            </w:r>
          </w:p>
        </w:tc>
        <w:tc>
          <w:tcPr/>
          <w:p>
            <w:pPr>
              <w:pStyle w:val="Compact"/>
              <w:jc w:val="left"/>
            </w:pPr>
            <w:r>
              <w:t xml:space="preserve">[Insert Grade Level]</w:t>
            </w:r>
          </w:p>
        </w:tc>
      </w:tr>
      <w:tr>
        <w:tc>
          <w:tcPr/>
          <w:p>
            <w:pPr>
              <w:pStyle w:val="Compact"/>
              <w:jc w:val="left"/>
            </w:pPr>
            <w:r>
              <w:t xml:space="preserve">Years of Experience</w:t>
            </w:r>
          </w:p>
        </w:tc>
        <w:tc>
          <w:tcPr/>
          <w:p>
            <w:pPr>
              <w:pStyle w:val="Compact"/>
              <w:jc w:val="left"/>
            </w:pPr>
            <w:r>
              <w:t xml:space="preserve">[Insert Years]</w:t>
            </w:r>
          </w:p>
        </w:tc>
      </w:tr>
    </w:tbl>
    <w:bookmarkEnd w:id="22"/>
    <w:bookmarkStart w:id="26" w:name="classroom-observation"/>
    <w:p>
      <w:pPr>
        <w:pStyle w:val="Heading2"/>
      </w:pPr>
      <w:r>
        <w:t xml:space="preserve">Classroom Observation</w:t>
      </w:r>
    </w:p>
    <w:bookmarkStart w:id="23" w:name="lesson-planning-and-preparation"/>
    <w:p>
      <w:pPr>
        <w:pStyle w:val="Heading3"/>
      </w:pPr>
      <w:r>
        <w:t xml:space="preserve">Lesson Planning and Preparation</w:t>
      </w:r>
    </w:p>
    <w:p>
      <w:pPr>
        <w:pStyle w:val="FirstParagraph"/>
      </w:pPr>
      <w:r>
        <w:t xml:space="preserve">The Teacher Secondary demonstrated thorough preparation for the observed lesson. The lesson plan was well-structured, aligned with the learning competencies outlined in the K-12 curriculum, and included clear objectives. The use of local examples and culturally relevant materials reflected an understanding of the diverse student population in the Philippines Manila. However, there is room for improvement in integrating technology to enhance engagement and accessibility.</w:t>
      </w:r>
    </w:p>
    <w:bookmarkEnd w:id="23"/>
    <w:bookmarkStart w:id="24" w:name="instructional-delivery"/>
    <w:p>
      <w:pPr>
        <w:pStyle w:val="Heading3"/>
      </w:pPr>
      <w:r>
        <w:t xml:space="preserve">Instructional Delivery</w:t>
      </w:r>
    </w:p>
    <w:p>
      <w:pPr>
        <w:pStyle w:val="FirstParagraph"/>
      </w:pPr>
      <w:r>
        <w:t xml:space="preserve">During the lesson, the teacher exhibited strong content knowledge and effectively communicated concepts to students. The use of varied instructional strategies, such as group discussions and hands-on activities, catered to different learning styles. The teacher maintained a positive classroom environment, encouraging participation and fostering a sense of respect among students. Nevertheless, pacing could be improved to ensure that all students, including those who may require additional support, are able to follow the lesson comfortably.</w:t>
      </w:r>
    </w:p>
    <w:bookmarkEnd w:id="24"/>
    <w:bookmarkStart w:id="25" w:name="student-engagement"/>
    <w:p>
      <w:pPr>
        <w:pStyle w:val="Heading3"/>
      </w:pPr>
      <w:r>
        <w:t xml:space="preserve">Student Engagement</w:t>
      </w:r>
    </w:p>
    <w:p>
      <w:pPr>
        <w:pStyle w:val="FirstParagraph"/>
      </w:pPr>
      <w:r>
        <w:t xml:space="preserve">Students were actively engaged in the lesson, demonstrating enthusiasm and curiosity. The teacher successfully created opportunities for students to collaborate and share their ideas. However, some students appeared hesitant to participate, possibly due to language barriers or lack of confidence. Incorporating more inclusive strategies, such as peer mentoring or differentiated tasks, could help address this issue.</w:t>
      </w:r>
    </w:p>
    <w:bookmarkEnd w:id="25"/>
    <w:bookmarkEnd w:id="26"/>
    <w:bookmarkStart w:id="27" w:name="assessment-and-feedback"/>
    <w:p>
      <w:pPr>
        <w:pStyle w:val="Heading2"/>
      </w:pPr>
      <w:r>
        <w:t xml:space="preserve">Assessment and Feedback</w:t>
      </w:r>
    </w:p>
    <w:p>
      <w:pPr>
        <w:pStyle w:val="FirstParagraph"/>
      </w:pPr>
      <w:r>
        <w:t xml:space="preserve">The Teacher Secondary employed a variety of assessment methods, including formative quizzes, class discussions, and project-based tasks. These assessments were aligned with the learning objectives and provided valuable insights into student understanding. Feedback was timely and constructive, helping students identify areas for improvement. To further enhance this aspect, the teacher could consider providing more personalized feedback and involving students in self-assessment activities.</w:t>
      </w:r>
    </w:p>
    <w:bookmarkEnd w:id="27"/>
    <w:bookmarkStart w:id="28" w:name="professionalism-and-collaboration"/>
    <w:p>
      <w:pPr>
        <w:pStyle w:val="Heading2"/>
      </w:pPr>
      <w:r>
        <w:t xml:space="preserve">Professionalism and Collaboration</w:t>
      </w:r>
    </w:p>
    <w:p>
      <w:pPr>
        <w:pStyle w:val="FirstParagraph"/>
      </w:pPr>
      <w:r>
        <w:t xml:space="preserve">The teacher demonstrated a high level of professionalism, adhering to school policies and maintaining open communication with colleagues, parents, and students. Active participation in professional development workshops and collaborative planning sessions highlighted a commitment to continuous improvement. Building stronger partnerships with parents, particularly in the context of the Philippines Manila, could further support student success.</w:t>
      </w:r>
    </w:p>
    <w:bookmarkEnd w:id="28"/>
    <w:bookmarkStart w:id="29" w:name="areas-of-strength"/>
    <w:p>
      <w:pPr>
        <w:pStyle w:val="Heading2"/>
      </w:pPr>
      <w:r>
        <w:t xml:space="preserve">Areas of Strength</w:t>
      </w:r>
    </w:p>
    <w:p>
      <w:pPr>
        <w:numPr>
          <w:ilvl w:val="0"/>
          <w:numId w:val="1001"/>
        </w:numPr>
        <w:pStyle w:val="Compact"/>
      </w:pPr>
      <w:r>
        <w:t xml:space="preserve">Strong content knowledge and effective instructional delivery.</w:t>
      </w:r>
    </w:p>
    <w:p>
      <w:pPr>
        <w:numPr>
          <w:ilvl w:val="0"/>
          <w:numId w:val="1001"/>
        </w:numPr>
        <w:pStyle w:val="Compact"/>
      </w:pPr>
      <w:r>
        <w:t xml:space="preserve">Use of culturally relevant materials and examples.</w:t>
      </w:r>
    </w:p>
    <w:p>
      <w:pPr>
        <w:numPr>
          <w:ilvl w:val="0"/>
          <w:numId w:val="1001"/>
        </w:numPr>
        <w:pStyle w:val="Compact"/>
      </w:pPr>
      <w:r>
        <w:t xml:space="preserve">Positive classroom environment and student engagement.</w:t>
      </w:r>
    </w:p>
    <w:p>
      <w:pPr>
        <w:numPr>
          <w:ilvl w:val="0"/>
          <w:numId w:val="1001"/>
        </w:numPr>
        <w:pStyle w:val="Compact"/>
      </w:pPr>
      <w:r>
        <w:t xml:space="preserve">Timely and constructive feedback.</w:t>
      </w:r>
    </w:p>
    <w:p>
      <w:pPr>
        <w:numPr>
          <w:ilvl w:val="0"/>
          <w:numId w:val="1001"/>
        </w:numPr>
        <w:pStyle w:val="Compact"/>
      </w:pPr>
      <w:r>
        <w:t xml:space="preserve">Commitment to professional growth and collaboration.</w:t>
      </w:r>
    </w:p>
    <w:bookmarkEnd w:id="29"/>
    <w:bookmarkStart w:id="30" w:name="areas-for-improvement"/>
    <w:p>
      <w:pPr>
        <w:pStyle w:val="Heading2"/>
      </w:pPr>
      <w:r>
        <w:t xml:space="preserve">Areas for Improvement</w:t>
      </w:r>
    </w:p>
    <w:p>
      <w:pPr>
        <w:numPr>
          <w:ilvl w:val="0"/>
          <w:numId w:val="1002"/>
        </w:numPr>
        <w:pStyle w:val="Compact"/>
      </w:pPr>
      <w:r>
        <w:t xml:space="preserve">Integrate technology more effectively into lessons.</w:t>
      </w:r>
    </w:p>
    <w:p>
      <w:pPr>
        <w:numPr>
          <w:ilvl w:val="0"/>
          <w:numId w:val="1002"/>
        </w:numPr>
        <w:pStyle w:val="Compact"/>
      </w:pPr>
      <w:r>
        <w:t xml:space="preserve">Improve pacing to accommodate diverse learning needs.</w:t>
      </w:r>
    </w:p>
    <w:p>
      <w:pPr>
        <w:numPr>
          <w:ilvl w:val="0"/>
          <w:numId w:val="1002"/>
        </w:numPr>
        <w:pStyle w:val="Compact"/>
      </w:pPr>
      <w:r>
        <w:t xml:space="preserve">Encourage participation from hesitant students through inclusive strategies.</w:t>
      </w:r>
    </w:p>
    <w:p>
      <w:pPr>
        <w:numPr>
          <w:ilvl w:val="0"/>
          <w:numId w:val="1002"/>
        </w:numPr>
        <w:pStyle w:val="Compact"/>
      </w:pPr>
      <w:r>
        <w:t xml:space="preserve">Provide more personalized feedback and involve students in self-assessment.</w:t>
      </w:r>
    </w:p>
    <w:p>
      <w:pPr>
        <w:numPr>
          <w:ilvl w:val="0"/>
          <w:numId w:val="1002"/>
        </w:numPr>
        <w:pStyle w:val="Compact"/>
      </w:pPr>
      <w:r>
        <w:t xml:space="preserve">Strengthen partnerships with parents and the community.</w:t>
      </w:r>
    </w:p>
    <w:bookmarkEnd w:id="30"/>
    <w:bookmarkStart w:id="31" w:name="recommendations"/>
    <w:p>
      <w:pPr>
        <w:pStyle w:val="Heading2"/>
      </w:pPr>
      <w:r>
        <w:t xml:space="preserve">Recommendations</w:t>
      </w:r>
    </w:p>
    <w:p>
      <w:pPr>
        <w:pStyle w:val="FirstParagraph"/>
      </w:pPr>
      <w:r>
        <w:t xml:space="preserve">To support the Teacher Secondary in addressing the identified areas for improvement, the following recommendations are proposed:</w:t>
      </w:r>
    </w:p>
    <w:p>
      <w:pPr>
        <w:numPr>
          <w:ilvl w:val="0"/>
          <w:numId w:val="1003"/>
        </w:numPr>
        <w:pStyle w:val="Compact"/>
      </w:pPr>
      <w:r>
        <w:t xml:space="preserve">Attend workshops on integrating technology in the classroom.</w:t>
      </w:r>
    </w:p>
    <w:p>
      <w:pPr>
        <w:numPr>
          <w:ilvl w:val="0"/>
          <w:numId w:val="1003"/>
        </w:numPr>
        <w:pStyle w:val="Compact"/>
      </w:pPr>
      <w:r>
        <w:t xml:space="preserve">Explore differentiated instruction techniques to better meet diverse learning needs.</w:t>
      </w:r>
    </w:p>
    <w:p>
      <w:pPr>
        <w:numPr>
          <w:ilvl w:val="0"/>
          <w:numId w:val="1003"/>
        </w:numPr>
        <w:pStyle w:val="Compact"/>
      </w:pPr>
      <w:r>
        <w:t xml:space="preserve">Implement strategies to build student confidence and encourage participation.</w:t>
      </w:r>
    </w:p>
    <w:p>
      <w:pPr>
        <w:numPr>
          <w:ilvl w:val="0"/>
          <w:numId w:val="1003"/>
        </w:numPr>
        <w:pStyle w:val="Compact"/>
      </w:pPr>
      <w:r>
        <w:t xml:space="preserve">Collaborate with colleagues to develop personalized feedback practices.</w:t>
      </w:r>
    </w:p>
    <w:p>
      <w:pPr>
        <w:numPr>
          <w:ilvl w:val="0"/>
          <w:numId w:val="1003"/>
        </w:numPr>
        <w:pStyle w:val="Compact"/>
      </w:pPr>
      <w:r>
        <w:t xml:space="preserve">Engage with parents through regular communication and community-building activities.</w:t>
      </w:r>
    </w:p>
    <w:bookmarkEnd w:id="31"/>
    <w:bookmarkStart w:id="32" w:name="conclusion"/>
    <w:p>
      <w:pPr>
        <w:pStyle w:val="Heading2"/>
      </w:pPr>
      <w:r>
        <w:t xml:space="preserve">Conclusion</w:t>
      </w:r>
    </w:p>
    <w:p>
      <w:pPr>
        <w:pStyle w:val="FirstParagraph"/>
      </w:pPr>
      <w:r>
        <w:t xml:space="preserve">This Peer Review Report highlights the strengths and areas for growth of the Teacher Secondary within the educational context of the Philippines Manila. By implementing the recommended strategies, the teacher can further enhance their practice and contribute to the academic success of their students. Continuous reflection, collaboration, and professional development are essential to achieving excellence in teaching.</w:t>
      </w:r>
    </w:p>
    <w:bookmarkEnd w:id="32"/>
    <w:p>
      <w:pPr>
        <w:pStyle w:val="BodyText"/>
      </w:pPr>
      <w:r>
        <w:rPr>
          <w:bCs/>
          <w:b/>
        </w:rPr>
        <w:t xml:space="preserve">Reviewer's Signature:</w:t>
      </w:r>
      <w:r>
        <w:t xml:space="preserve"> </w:t>
      </w:r>
      <w:r>
        <w:t xml:space="preserve">___________________________</w:t>
      </w:r>
    </w:p>
    <w:p>
      <w:pPr>
        <w:pStyle w:val="BodyText"/>
      </w:pPr>
      <w:r>
        <w:rPr>
          <w:bCs/>
          <w:b/>
        </w:rPr>
        <w:t xml:space="preserve">Date:</w:t>
      </w:r>
      <w:r>
        <w:t xml:space="preserve"> </w:t>
      </w:r>
      <w:r>
        <w:t xml:space="preserve">[Insert Date]</w:t>
      </w:r>
    </w:p>
    <w:p>
      <w:pPr>
        <w:pStyle w:val="BodyText"/>
      </w:pPr>
      <w:r>
        <w:rPr>
          <w:bCs/>
          <w:b/>
        </w:rPr>
        <w:t xml:space="preserve">Teacher's Signature:</w:t>
      </w:r>
      <w:r>
        <w:t xml:space="preserve"> </w:t>
      </w:r>
      <w:r>
        <w:t xml:space="preserve">___________________________</w:t>
      </w:r>
    </w:p>
    <w:p>
      <w:pPr>
        <w:pStyle w:val="BodyText"/>
      </w:pPr>
      <w:r>
        <w:rPr>
          <w:bCs/>
          <w:b/>
        </w:rPr>
        <w:t xml:space="preserve">Date:</w:t>
      </w:r>
      <w:r>
        <w:t xml:space="preserve"> </w:t>
      </w:r>
      <w:r>
        <w:t xml:space="preserve">[Insert 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Teacher Secondary - Philippines Manila</dc:title>
  <dc:creator/>
  <dc:language>en</dc:language>
  <cp:keywords/>
  <dcterms:created xsi:type="dcterms:W3CDTF">2026-10-10T03:50:44Z</dcterms:created>
  <dcterms:modified xsi:type="dcterms:W3CDTF">2026-10-10T03:50:44Z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