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School:</w:t>
      </w:r>
      <w:r>
        <w:t xml:space="preserve"> </w:t>
      </w:r>
      <w:r>
        <w:t xml:space="preserve">[Insert School Name], Doha, Qatar</w:t>
      </w:r>
    </w:p>
    <w:p>
      <w:pPr>
        <w:pStyle w:val="BodyText"/>
      </w:pPr>
      <w:r>
        <w:rPr>
          <w:bCs/>
          <w:b/>
        </w:rPr>
        <w:t xml:space="preserve">Date of Review:</w:t>
      </w:r>
      <w:r>
        <w:t xml:space="preserve"> </w:t>
      </w:r>
      <w:r>
        <w:t xml:space="preserve">[Insert Date]</w:t>
      </w:r>
    </w:p>
    <w:p>
      <w:pPr>
        <w:pStyle w:val="BodyText"/>
      </w:pPr>
      <w:r>
        <w:rPr>
          <w:bCs/>
          <w:b/>
        </w:rPr>
        <w:t xml:space="preserve">Review Cycle:</w:t>
      </w:r>
      <w:r>
        <w:t xml:space="preserve"> </w:t>
      </w:r>
      <w:r>
        <w:t xml:space="preserve">[Insert Academic Year]</w:t>
      </w:r>
    </w:p>
    <w:bookmarkEnd w:id="20"/>
    <w:bookmarkStart w:id="21" w:name="introduction"/>
    <w:p>
      <w:pPr>
        <w:pStyle w:val="Heading2"/>
      </w:pPr>
      <w:r>
        <w:t xml:space="preserve">1. Introduction</w:t>
      </w:r>
    </w:p>
    <w:p>
      <w:pPr>
        <w:pStyle w:val="FirstParagraph"/>
      </w:pPr>
      <w:r>
        <w:t xml:space="preserve">This Peer Review Report has been prepared in accordance with the professional development and evaluation standards adopted by educational institutions in Doha, Qatar. The purpose of this report is to provide a comprehensive, constructive, and evidence-based assessment of the teaching practices of a Teacher Secondary within the school’s secondary education framework. The review aims to support continuous improvement, align teaching with Qatar’s national educational goals, and enhance student learning outcomes.</w:t>
      </w:r>
    </w:p>
    <w:p>
      <w:pPr>
        <w:pStyle w:val="BodyText"/>
      </w:pPr>
      <w:r>
        <w:t xml:space="preserve">The review process was conducted through classroom observations, analysis of lesson plans, student work samples, and collaborative discussions with the teacher. The focus areas include instructional planning, classroom management, assessment practices, student engagement, and professional collaboration.</w:t>
      </w:r>
    </w:p>
    <w:bookmarkEnd w:id="21"/>
    <w:bookmarkStart w:id="22" w:name="teacher-and-context-information"/>
    <w:p>
      <w:pPr>
        <w:pStyle w:val="Heading2"/>
      </w:pPr>
      <w:r>
        <w:t xml:space="preserve">2. Teacher and Context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Teacher Name</w:t>
            </w:r>
          </w:p>
        </w:tc>
        <w:tc>
          <w:tcPr/>
          <w:p>
            <w:pPr>
              <w:pStyle w:val="Compact"/>
              <w:jc w:val="left"/>
            </w:pPr>
            <w:r>
              <w:t xml:space="preserve">[Insert Name]</w:t>
            </w:r>
          </w:p>
        </w:tc>
      </w:tr>
      <w:tr>
        <w:tc>
          <w:tcPr/>
          <w:p>
            <w:pPr>
              <w:pStyle w:val="Compact"/>
              <w:jc w:val="left"/>
            </w:pPr>
            <w:r>
              <w:t xml:space="preserve">Subject Area</w:t>
            </w:r>
          </w:p>
        </w:tc>
        <w:tc>
          <w:tcPr/>
          <w:p>
            <w:pPr>
              <w:pStyle w:val="Compact"/>
              <w:jc w:val="left"/>
            </w:pPr>
            <w:r>
              <w:t xml:space="preserve">[Insert Subject]</w:t>
            </w:r>
          </w:p>
        </w:tc>
      </w:tr>
      <w:tr>
        <w:tc>
          <w:tcPr/>
          <w:p>
            <w:pPr>
              <w:pStyle w:val="Compact"/>
              <w:jc w:val="left"/>
            </w:pPr>
            <w:r>
              <w:t xml:space="preserve">Grade Level</w:t>
            </w:r>
          </w:p>
        </w:tc>
        <w:tc>
          <w:tcPr/>
          <w:p>
            <w:pPr>
              <w:pStyle w:val="Compact"/>
              <w:jc w:val="left"/>
            </w:pPr>
            <w:r>
              <w:t xml:space="preserve">Secondary (Grades 7–12)</w:t>
            </w:r>
          </w:p>
        </w:tc>
      </w:tr>
      <w:tr>
        <w:tc>
          <w:tcPr/>
          <w:p>
            <w:pPr>
              <w:pStyle w:val="Compact"/>
              <w:jc w:val="left"/>
            </w:pPr>
            <w:r>
              <w:t xml:space="preserve">Years of Experience</w:t>
            </w:r>
          </w:p>
        </w:tc>
        <w:tc>
          <w:tcPr/>
          <w:p>
            <w:pPr>
              <w:pStyle w:val="Compact"/>
              <w:jc w:val="left"/>
            </w:pPr>
            <w:r>
              <w:t xml:space="preserve">[Insert Years]</w:t>
            </w:r>
          </w:p>
        </w:tc>
      </w:tr>
      <w:tr>
        <w:tc>
          <w:tcPr/>
          <w:p>
            <w:pPr>
              <w:pStyle w:val="Compact"/>
              <w:jc w:val="left"/>
            </w:pPr>
            <w:r>
              <w:t xml:space="preserve">Review Type</w:t>
            </w:r>
          </w:p>
        </w:tc>
        <w:tc>
          <w:tcPr/>
          <w:p>
            <w:pPr>
              <w:pStyle w:val="Compact"/>
              <w:jc w:val="left"/>
            </w:pPr>
            <w:r>
              <w:t xml:space="preserve">Formative / Summative</w:t>
            </w:r>
          </w:p>
        </w:tc>
      </w:tr>
      <w:tr>
        <w:tc>
          <w:tcPr/>
          <w:p>
            <w:pPr>
              <w:pStyle w:val="Compact"/>
              <w:jc w:val="left"/>
            </w:pPr>
            <w:r>
              <w:t xml:space="preserve">Reviewer Name</w:t>
            </w:r>
          </w:p>
        </w:tc>
        <w:tc>
          <w:tcPr/>
          <w:p>
            <w:pPr>
              <w:pStyle w:val="Compact"/>
              <w:jc w:val="left"/>
            </w:pPr>
            <w:r>
              <w:t xml:space="preserve">[Insert Reviewer Name]</w:t>
            </w:r>
          </w:p>
        </w:tc>
      </w:tr>
      <w:tr>
        <w:tc>
          <w:tcPr/>
          <w:p>
            <w:pPr>
              <w:pStyle w:val="Compact"/>
              <w:jc w:val="left"/>
            </w:pPr>
            <w:r>
              <w:t xml:space="preserve">Reviewer Role</w:t>
            </w:r>
          </w:p>
        </w:tc>
        <w:tc>
          <w:tcPr/>
          <w:p>
            <w:pPr>
              <w:pStyle w:val="Compact"/>
              <w:jc w:val="left"/>
            </w:pPr>
            <w:r>
              <w:t xml:space="preserve">[Insert Role, e.g., Senior Teacher, Department Head]</w:t>
            </w:r>
          </w:p>
        </w:tc>
      </w:tr>
    </w:tbl>
    <w:bookmarkEnd w:id="22"/>
    <w:bookmarkStart w:id="28" w:name="observations-and-evidence"/>
    <w:p>
      <w:pPr>
        <w:pStyle w:val="Heading2"/>
      </w:pPr>
      <w:r>
        <w:t xml:space="preserve">3. Observations and Evidence</w:t>
      </w:r>
    </w:p>
    <w:bookmarkStart w:id="23" w:name="instructional-planning-and-preparation"/>
    <w:p>
      <w:pPr>
        <w:pStyle w:val="Heading3"/>
      </w:pPr>
      <w:r>
        <w:t xml:space="preserve">3.1 Instructional Planning and Preparation</w:t>
      </w:r>
    </w:p>
    <w:p>
      <w:pPr>
        <w:pStyle w:val="FirstParagraph"/>
      </w:pPr>
      <w:r>
        <w:t xml:space="preserve">The Teacher Secondary demonstrates a strong understanding of curriculum standards and learning objectives relevant to the secondary level in Qatar. Lesson plans are well-structured, clearly aligned with national and school-specific learning goals, and include differentiated strategies to support diverse learners. The teacher effectively integrates technology and real-world contexts into lessons, which is particularly important in Qatar’s rapidly evolving educational landscape.</w:t>
      </w:r>
    </w:p>
    <w:p>
      <w:pPr>
        <w:pStyle w:val="BodyText"/>
      </w:pPr>
      <w:r>
        <w:t xml:space="preserve">Areas of strength include:</w:t>
      </w:r>
    </w:p>
    <w:p>
      <w:pPr>
        <w:numPr>
          <w:ilvl w:val="0"/>
          <w:numId w:val="1001"/>
        </w:numPr>
        <w:pStyle w:val="Compact"/>
      </w:pPr>
      <w:r>
        <w:t xml:space="preserve">Clear learning objectives communicated to students.</w:t>
      </w:r>
    </w:p>
    <w:p>
      <w:pPr>
        <w:numPr>
          <w:ilvl w:val="0"/>
          <w:numId w:val="1001"/>
        </w:numPr>
        <w:pStyle w:val="Compact"/>
      </w:pPr>
      <w:r>
        <w:t xml:space="preserve">Use of formative assessment strategies to check understanding.</w:t>
      </w:r>
    </w:p>
    <w:p>
      <w:pPr>
        <w:numPr>
          <w:ilvl w:val="0"/>
          <w:numId w:val="1001"/>
        </w:numPr>
        <w:pStyle w:val="Compact"/>
      </w:pPr>
      <w:r>
        <w:t xml:space="preserve">Integration of cross-curricular links where appropriate.</w:t>
      </w:r>
    </w:p>
    <w:p>
      <w:pPr>
        <w:pStyle w:val="FirstParagraph"/>
      </w:pPr>
      <w:r>
        <w:t xml:space="preserve">Areas for development:</w:t>
      </w:r>
    </w:p>
    <w:p>
      <w:pPr>
        <w:numPr>
          <w:ilvl w:val="0"/>
          <w:numId w:val="1002"/>
        </w:numPr>
        <w:pStyle w:val="Compact"/>
      </w:pPr>
      <w:r>
        <w:t xml:space="preserve">Further alignment of long-term planning with Qatar National Vision 2030 educational priorities.</w:t>
      </w:r>
    </w:p>
    <w:p>
      <w:pPr>
        <w:numPr>
          <w:ilvl w:val="0"/>
          <w:numId w:val="1002"/>
        </w:numPr>
        <w:pStyle w:val="Compact"/>
      </w:pPr>
      <w:r>
        <w:t xml:space="preserve">Increased use of student-centered inquiry-based learning approaches.</w:t>
      </w:r>
    </w:p>
    <w:bookmarkEnd w:id="23"/>
    <w:bookmarkStart w:id="24" w:name="X13f42425fe5e3e244d3644255ee2032248f90cc"/>
    <w:p>
      <w:pPr>
        <w:pStyle w:val="Heading3"/>
      </w:pPr>
      <w:r>
        <w:t xml:space="preserve">3.2 Classroom Management and Learning Environment</w:t>
      </w:r>
    </w:p>
    <w:p>
      <w:pPr>
        <w:pStyle w:val="FirstParagraph"/>
      </w:pPr>
      <w:r>
        <w:t xml:space="preserve">The classroom environment is organized, respectful, and conducive to learning. The Teacher Secondary establishes clear expectations and routines, which contribute to a positive and productive learning atmosphere. Students are engaged and demonstrate respect for both the teacher and their peers.</w:t>
      </w:r>
    </w:p>
    <w:p>
      <w:pPr>
        <w:pStyle w:val="BodyText"/>
      </w:pPr>
      <w:r>
        <w:t xml:space="preserve">Strengths:</w:t>
      </w:r>
    </w:p>
    <w:p>
      <w:pPr>
        <w:numPr>
          <w:ilvl w:val="0"/>
          <w:numId w:val="1003"/>
        </w:numPr>
        <w:pStyle w:val="Compact"/>
      </w:pPr>
      <w:r>
        <w:t xml:space="preserve">Consistent and fair application of classroom rules.</w:t>
      </w:r>
    </w:p>
    <w:p>
      <w:pPr>
        <w:numPr>
          <w:ilvl w:val="0"/>
          <w:numId w:val="1003"/>
        </w:numPr>
        <w:pStyle w:val="Compact"/>
      </w:pPr>
      <w:r>
        <w:t xml:space="preserve">Effective use of time and transitions between activities.</w:t>
      </w:r>
    </w:p>
    <w:p>
      <w:pPr>
        <w:numPr>
          <w:ilvl w:val="0"/>
          <w:numId w:val="1003"/>
        </w:numPr>
        <w:pStyle w:val="Compact"/>
      </w:pPr>
      <w:r>
        <w:t xml:space="preserve">Positive teacher-student relationships.</w:t>
      </w:r>
    </w:p>
    <w:p>
      <w:pPr>
        <w:pStyle w:val="FirstParagraph"/>
      </w:pPr>
      <w:r>
        <w:t xml:space="preserve">Recommendations:</w:t>
      </w:r>
    </w:p>
    <w:p>
      <w:pPr>
        <w:numPr>
          <w:ilvl w:val="0"/>
          <w:numId w:val="1004"/>
        </w:numPr>
        <w:pStyle w:val="Compact"/>
      </w:pPr>
      <w:r>
        <w:t xml:space="preserve">Incorporate more student voice in setting classroom norms.</w:t>
      </w:r>
    </w:p>
    <w:p>
      <w:pPr>
        <w:numPr>
          <w:ilvl w:val="0"/>
          <w:numId w:val="1004"/>
        </w:numPr>
        <w:pStyle w:val="Compact"/>
      </w:pPr>
      <w:r>
        <w:t xml:space="preserve">Explore strategies to further support students with additional learning needs.</w:t>
      </w:r>
    </w:p>
    <w:bookmarkEnd w:id="24"/>
    <w:bookmarkStart w:id="25" w:name="X5f644126c80c41b64fcf1f123d5d31c8ff81ea9"/>
    <w:p>
      <w:pPr>
        <w:pStyle w:val="Heading3"/>
      </w:pPr>
      <w:r>
        <w:t xml:space="preserve">3.3 Instructional Delivery and Student Engagement</w:t>
      </w:r>
    </w:p>
    <w:p>
      <w:pPr>
        <w:pStyle w:val="FirstParagraph"/>
      </w:pPr>
      <w:r>
        <w:t xml:space="preserve">Instructional delivery is clear, engaging, and responsive to student needs. The Teacher Secondary uses a variety of teaching strategies, including direct instruction, group work, and independent tasks, to cater to different learning styles. Students are actively involved in their learning, and the teacher provides timely and constructive feedback.</w:t>
      </w:r>
    </w:p>
    <w:p>
      <w:pPr>
        <w:pStyle w:val="BodyText"/>
      </w:pPr>
      <w:r>
        <w:t xml:space="preserve">Strengths:</w:t>
      </w:r>
    </w:p>
    <w:p>
      <w:pPr>
        <w:numPr>
          <w:ilvl w:val="0"/>
          <w:numId w:val="1005"/>
        </w:numPr>
        <w:pStyle w:val="Compact"/>
      </w:pPr>
      <w:r>
        <w:t xml:space="preserve">Use of questioning techniques to promote higher-order thinking.</w:t>
      </w:r>
    </w:p>
    <w:p>
      <w:pPr>
        <w:numPr>
          <w:ilvl w:val="0"/>
          <w:numId w:val="1005"/>
        </w:numPr>
        <w:pStyle w:val="Compact"/>
      </w:pPr>
      <w:r>
        <w:t xml:space="preserve">Effective scaffolding of complex concepts.</w:t>
      </w:r>
    </w:p>
    <w:p>
      <w:pPr>
        <w:numPr>
          <w:ilvl w:val="0"/>
          <w:numId w:val="1005"/>
        </w:numPr>
        <w:pStyle w:val="Compact"/>
      </w:pPr>
      <w:r>
        <w:t xml:space="preserve">Encouragement of student collaboration and peer learning.</w:t>
      </w:r>
    </w:p>
    <w:p>
      <w:pPr>
        <w:pStyle w:val="FirstParagraph"/>
      </w:pPr>
      <w:r>
        <w:t xml:space="preserve">Areas for growth:</w:t>
      </w:r>
    </w:p>
    <w:p>
      <w:pPr>
        <w:numPr>
          <w:ilvl w:val="0"/>
          <w:numId w:val="1006"/>
        </w:numPr>
        <w:pStyle w:val="Compact"/>
      </w:pPr>
      <w:r>
        <w:t xml:space="preserve">Greater emphasis on critical thinking and problem-solving skills.</w:t>
      </w:r>
    </w:p>
    <w:p>
      <w:pPr>
        <w:numPr>
          <w:ilvl w:val="0"/>
          <w:numId w:val="1006"/>
        </w:numPr>
        <w:pStyle w:val="Compact"/>
      </w:pPr>
      <w:r>
        <w:t xml:space="preserve">More opportunities for student-led discussions and presentations.</w:t>
      </w:r>
    </w:p>
    <w:bookmarkEnd w:id="25"/>
    <w:bookmarkStart w:id="26" w:name="assessment-and-feedback"/>
    <w:p>
      <w:pPr>
        <w:pStyle w:val="Heading3"/>
      </w:pPr>
      <w:r>
        <w:t xml:space="preserve">3.4 Assessment and Feedback</w:t>
      </w:r>
    </w:p>
    <w:p>
      <w:pPr>
        <w:pStyle w:val="FirstParagraph"/>
      </w:pPr>
      <w:r>
        <w:t xml:space="preserve">The Teacher Secondary employs a balanced approach to assessment, including formative and summative methods. Assessments are aligned with learning objectives and provide meaningful insights into student progress. Feedback is specific, actionable, and supports student improvement.</w:t>
      </w:r>
    </w:p>
    <w:p>
      <w:pPr>
        <w:pStyle w:val="BodyText"/>
      </w:pPr>
      <w:r>
        <w:t xml:space="preserve">Strengths:</w:t>
      </w:r>
    </w:p>
    <w:p>
      <w:pPr>
        <w:numPr>
          <w:ilvl w:val="0"/>
          <w:numId w:val="1007"/>
        </w:numPr>
        <w:pStyle w:val="Compact"/>
      </w:pPr>
      <w:r>
        <w:t xml:space="preserve">Regular use of quizzes, projects, and classwork to monitor learning.</w:t>
      </w:r>
    </w:p>
    <w:p>
      <w:pPr>
        <w:numPr>
          <w:ilvl w:val="0"/>
          <w:numId w:val="1007"/>
        </w:numPr>
        <w:pStyle w:val="Compact"/>
      </w:pPr>
      <w:r>
        <w:t xml:space="preserve">Clear rubrics and criteria shared with students.</w:t>
      </w:r>
    </w:p>
    <w:p>
      <w:pPr>
        <w:numPr>
          <w:ilvl w:val="0"/>
          <w:numId w:val="1007"/>
        </w:numPr>
        <w:pStyle w:val="Compact"/>
      </w:pPr>
      <w:r>
        <w:t xml:space="preserve">Timely feedback that guides next steps in learning.</w:t>
      </w:r>
    </w:p>
    <w:p>
      <w:pPr>
        <w:pStyle w:val="FirstParagraph"/>
      </w:pPr>
      <w:r>
        <w:t xml:space="preserve">Recommendations:</w:t>
      </w:r>
    </w:p>
    <w:p>
      <w:pPr>
        <w:numPr>
          <w:ilvl w:val="0"/>
          <w:numId w:val="1008"/>
        </w:numPr>
        <w:pStyle w:val="Compact"/>
      </w:pPr>
      <w:r>
        <w:t xml:space="preserve">Increase opportunities for self-assessment and peer assessment.</w:t>
      </w:r>
    </w:p>
    <w:p>
      <w:pPr>
        <w:numPr>
          <w:ilvl w:val="0"/>
          <w:numId w:val="1008"/>
        </w:numPr>
        <w:pStyle w:val="Compact"/>
      </w:pPr>
      <w:r>
        <w:t xml:space="preserve">Strengthen data-driven decision-making to inform instruction.</w:t>
      </w:r>
    </w:p>
    <w:bookmarkEnd w:id="26"/>
    <w:bookmarkStart w:id="27" w:name="X8b14a146578d8f600cd80dda223570d9f788999"/>
    <w:p>
      <w:pPr>
        <w:pStyle w:val="Heading3"/>
      </w:pPr>
      <w:r>
        <w:t xml:space="preserve">3.5 Professional Collaboration and Development</w:t>
      </w:r>
    </w:p>
    <w:p>
      <w:pPr>
        <w:pStyle w:val="FirstParagraph"/>
      </w:pPr>
      <w:r>
        <w:t xml:space="preserve">The Teacher Secondary actively participates in professional learning communities and collaborates with colleagues to improve teaching and learning. The teacher is open to feedback and demonstrates a commitment to ongoing professional growth, which is essential in the dynamic educational context of Doha, Qatar.</w:t>
      </w:r>
    </w:p>
    <w:p>
      <w:pPr>
        <w:pStyle w:val="BodyText"/>
      </w:pPr>
      <w:r>
        <w:t xml:space="preserve">Strengths:</w:t>
      </w:r>
    </w:p>
    <w:p>
      <w:pPr>
        <w:numPr>
          <w:ilvl w:val="0"/>
          <w:numId w:val="1009"/>
        </w:numPr>
        <w:pStyle w:val="Compact"/>
      </w:pPr>
      <w:r>
        <w:t xml:space="preserve">Regular attendance at staff meetings and professional development sessions.</w:t>
      </w:r>
    </w:p>
    <w:p>
      <w:pPr>
        <w:numPr>
          <w:ilvl w:val="0"/>
          <w:numId w:val="1009"/>
        </w:numPr>
        <w:pStyle w:val="Compact"/>
      </w:pPr>
      <w:r>
        <w:t xml:space="preserve">Willingness to share best practices and resources.</w:t>
      </w:r>
    </w:p>
    <w:p>
      <w:pPr>
        <w:numPr>
          <w:ilvl w:val="0"/>
          <w:numId w:val="1009"/>
        </w:numPr>
        <w:pStyle w:val="Compact"/>
      </w:pPr>
      <w:r>
        <w:t xml:space="preserve">Engagement in reflective practice.</w:t>
      </w:r>
    </w:p>
    <w:p>
      <w:pPr>
        <w:pStyle w:val="FirstParagraph"/>
      </w:pPr>
      <w:r>
        <w:t xml:space="preserve">Areas for development:</w:t>
      </w:r>
    </w:p>
    <w:p>
      <w:pPr>
        <w:numPr>
          <w:ilvl w:val="0"/>
          <w:numId w:val="1010"/>
        </w:numPr>
        <w:pStyle w:val="Compact"/>
      </w:pPr>
      <w:r>
        <w:t xml:space="preserve">Take on a leadership role in departmental initiatives.</w:t>
      </w:r>
    </w:p>
    <w:p>
      <w:pPr>
        <w:numPr>
          <w:ilvl w:val="0"/>
          <w:numId w:val="1010"/>
        </w:numPr>
        <w:pStyle w:val="Compact"/>
      </w:pPr>
      <w:r>
        <w:t xml:space="preserve">Pursue further training in emerging educational technologies.</w:t>
      </w:r>
    </w:p>
    <w:bookmarkEnd w:id="27"/>
    <w:bookmarkEnd w:id="28"/>
    <w:bookmarkStart w:id="29" w:name="overall-evaluation"/>
    <w:p>
      <w:pPr>
        <w:pStyle w:val="Heading2"/>
      </w:pPr>
      <w:r>
        <w:t xml:space="preserve">4. Overall Evaluation</w:t>
      </w:r>
    </w:p>
    <w:p>
      <w:pPr>
        <w:pStyle w:val="FirstParagraph"/>
      </w:pPr>
      <w:r>
        <w:t xml:space="preserve">Based on the evidence gathered during this Peer Review Report, the Teacher Secondary demonstrates a high level of professionalism, pedagogical skill, and commitment to student success. The teacher’s practices are largely aligned with the expectations of secondary education in Qatar Doha, and there is a clear dedication to fostering a positive and inclusive learning environment.</w:t>
      </w:r>
    </w:p>
    <w:p>
      <w:pPr>
        <w:pStyle w:val="BodyText"/>
      </w:pPr>
      <w:r>
        <w:t xml:space="preserve">While there are areas for continued growth, particularly in student-centered learning and data-informed instruction, the teacher shows a strong capacity for reflection and improvement. The recommendations provided in this report are intended to support the teacher’s ongoing development and contribute to the school’s broader goals of excellence in education.</w:t>
      </w:r>
    </w:p>
    <w:bookmarkEnd w:id="29"/>
    <w:bookmarkStart w:id="30" w:name="recommendations-and-action-plan"/>
    <w:p>
      <w:pPr>
        <w:pStyle w:val="Heading2"/>
      </w:pPr>
      <w:r>
        <w:t xml:space="preserve">5. Recommendations and Action Plan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Area for Development</w:t>
            </w:r>
          </w:p>
        </w:tc>
        <w:tc>
          <w:tcPr/>
          <w:p>
            <w:pPr>
              <w:pStyle w:val="Compact"/>
              <w:jc w:val="left"/>
            </w:pPr>
            <w:r>
              <w:t xml:space="preserve">Action Steps</w:t>
            </w:r>
          </w:p>
        </w:tc>
        <w:tc>
          <w:tcPr/>
          <w:p>
            <w:pPr>
              <w:pStyle w:val="Compact"/>
              <w:jc w:val="left"/>
            </w:pPr>
            <w:r>
              <w:t xml:space="preserve">Timeline</w:t>
            </w:r>
          </w:p>
        </w:tc>
        <w:tc>
          <w:tcPr/>
          <w:p>
            <w:pPr>
              <w:pStyle w:val="Compact"/>
              <w:jc w:val="left"/>
            </w:pPr>
            <w:r>
              <w:t xml:space="preserve">Support Required</w:t>
            </w:r>
          </w:p>
        </w:tc>
      </w:tr>
      <w:tr>
        <w:tc>
          <w:tcPr/>
          <w:p>
            <w:pPr>
              <w:pStyle w:val="Compact"/>
              <w:jc w:val="left"/>
            </w:pPr>
            <w:r>
              <w:t xml:space="preserve">Student-centered learning</w:t>
            </w:r>
          </w:p>
        </w:tc>
        <w:tc>
          <w:tcPr/>
          <w:p>
            <w:pPr>
              <w:pStyle w:val="Compact"/>
              <w:jc w:val="left"/>
            </w:pPr>
            <w:r>
              <w:t xml:space="preserve">Implement inquiry-based lessons; increase group projects.</w:t>
            </w:r>
          </w:p>
        </w:tc>
        <w:tc>
          <w:tcPr/>
          <w:p>
            <w:pPr>
              <w:pStyle w:val="Compact"/>
              <w:jc w:val="left"/>
            </w:pPr>
            <w:r>
              <w:t xml:space="preserve">Next term</w:t>
            </w:r>
          </w:p>
        </w:tc>
        <w:tc>
          <w:tcPr/>
          <w:p>
            <w:pPr>
              <w:pStyle w:val="Compact"/>
              <w:jc w:val="left"/>
            </w:pPr>
            <w:r>
              <w:t xml:space="preserve">Professional development workshops</w:t>
            </w:r>
          </w:p>
        </w:tc>
      </w:tr>
      <w:tr>
        <w:tc>
          <w:tcPr/>
          <w:p>
            <w:pPr>
              <w:pStyle w:val="Compact"/>
              <w:jc w:val="left"/>
            </w:pPr>
            <w:r>
              <w:t xml:space="preserve">Data-driven instruction</w:t>
            </w:r>
          </w:p>
        </w:tc>
        <w:tc>
          <w:tcPr/>
          <w:p>
            <w:pPr>
              <w:pStyle w:val="Compact"/>
              <w:jc w:val="left"/>
            </w:pPr>
            <w:r>
              <w:t xml:space="preserve">Analyze assessment data to adjust teaching strategies.</w:t>
            </w:r>
          </w:p>
        </w:tc>
        <w:tc>
          <w:tcPr/>
          <w:p>
            <w:pPr>
              <w:pStyle w:val="Compact"/>
              <w:jc w:val="left"/>
            </w:pPr>
            <w:r>
              <w:t xml:space="preserve">Ongoing</w:t>
            </w:r>
          </w:p>
        </w:tc>
        <w:tc>
          <w:tcPr/>
          <w:p>
            <w:pPr>
              <w:pStyle w:val="Compact"/>
              <w:jc w:val="left"/>
            </w:pPr>
            <w:r>
              <w:t xml:space="preserve">Collaboration with data team</w:t>
            </w:r>
          </w:p>
        </w:tc>
      </w:tr>
      <w:tr>
        <w:tc>
          <w:tcPr/>
          <w:p>
            <w:pPr>
              <w:pStyle w:val="Compact"/>
              <w:jc w:val="left"/>
            </w:pPr>
            <w:r>
              <w:t xml:space="preserve">Leadership and collaboration</w:t>
            </w:r>
          </w:p>
        </w:tc>
        <w:tc>
          <w:tcPr/>
          <w:p>
            <w:pPr>
              <w:pStyle w:val="Compact"/>
              <w:jc w:val="left"/>
            </w:pPr>
            <w:r>
              <w:t xml:space="preserve">Lead a departmental initiative or PLC session.</w:t>
            </w:r>
          </w:p>
        </w:tc>
        <w:tc>
          <w:tcPr/>
          <w:p>
            <w:pPr>
              <w:pStyle w:val="Compact"/>
              <w:jc w:val="left"/>
            </w:pPr>
            <w:r>
              <w:t xml:space="preserve">Within 6 months</w:t>
            </w:r>
          </w:p>
        </w:tc>
        <w:tc>
          <w:tcPr/>
          <w:p>
            <w:pPr>
              <w:pStyle w:val="Compact"/>
              <w:jc w:val="left"/>
            </w:pPr>
            <w:r>
              <w:t xml:space="preserve">Mentoring from senior staff</w:t>
            </w:r>
          </w:p>
        </w:tc>
      </w:tr>
    </w:tbl>
    <w:bookmarkEnd w:id="30"/>
    <w:bookmarkStart w:id="31" w:name="signatures"/>
    <w:p>
      <w:pPr>
        <w:pStyle w:val="Heading2"/>
      </w:pPr>
      <w:r>
        <w:t xml:space="preserve">6. Signatures</w:t>
      </w:r>
    </w:p>
    <w:p>
      <w:pPr>
        <w:pStyle w:val="FirstParagraph"/>
      </w:pPr>
      <w:r>
        <w:rPr>
          <w:bCs/>
          <w:b/>
        </w:rPr>
        <w:t xml:space="preserve">Teacher Secondary:</w:t>
      </w:r>
      <w:r>
        <w:t xml:space="preserve"> </w:t>
      </w:r>
      <w:r>
        <w:t xml:space="preserve">___________________________ Date: ______________</w:t>
      </w:r>
    </w:p>
    <w:p>
      <w:pPr>
        <w:pStyle w:val="BodyText"/>
      </w:pPr>
      <w:r>
        <w:rPr>
          <w:bCs/>
          <w:b/>
        </w:rPr>
        <w:t xml:space="preserve">Reviewer:</w:t>
      </w:r>
      <w:r>
        <w:t xml:space="preserve"> </w:t>
      </w:r>
      <w:r>
        <w:t xml:space="preserve">___________________________ Date: ______________</w:t>
      </w:r>
    </w:p>
    <w:p>
      <w:pPr>
        <w:pStyle w:val="BodyText"/>
      </w:pPr>
      <w:r>
        <w:rPr>
          <w:bCs/>
          <w:b/>
        </w:rPr>
        <w:t xml:space="preserve">Department Head / Principal:</w:t>
      </w:r>
      <w:r>
        <w:t xml:space="preserve"> </w:t>
      </w:r>
      <w:r>
        <w:t xml:space="preserve">___________________________ Date: 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Secondary - Qatar Doha</dc:title>
  <dc:creator/>
  <dc:language>en</dc:language>
  <cp:keywords/>
  <dcterms:created xsi:type="dcterms:W3CDTF">2026-10-10T04:12:46Z</dcterms:created>
  <dcterms:modified xsi:type="dcterms:W3CDTF">2026-10-10T04:12:46Z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