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Observation and Evaluation of Teaching Practice</w:t>
      </w:r>
    </w:p>
    <w:p>
      <w:pPr>
        <w:pStyle w:val="BodyText"/>
      </w:pPr>
      <w:r>
        <w:rPr>
          <w:bCs/>
          <w:b/>
        </w:rPr>
        <w:t xml:space="preserve">Location:</w:t>
      </w:r>
      <w:r>
        <w:t xml:space="preserve"> </w:t>
      </w:r>
      <w:r>
        <w:t xml:space="preserve">Moscow, Russia</w:t>
      </w:r>
      <w:r>
        <w:br/>
      </w:r>
      <w:r>
        <w:rPr>
          <w:bCs/>
          <w:b/>
        </w:rPr>
        <w:t xml:space="preserve">School Type:</w:t>
      </w:r>
      <w:r>
        <w:t xml:space="preserve"> </w:t>
      </w:r>
      <w:r>
        <w:t xml:space="preserve">Secondary Education Institution</w:t>
      </w:r>
      <w:r>
        <w:br/>
      </w:r>
      <w:r>
        <w:rPr>
          <w:bCs/>
          <w:b/>
        </w:rPr>
        <w:t xml:space="preserve">Date of Observation:</w:t>
      </w:r>
      <w:r>
        <w:t xml:space="preserve"> </w:t>
      </w:r>
      <w:r>
        <w:t xml:space="preserve">October 24, 2023</w:t>
      </w:r>
    </w:p>
    <w:p>
      <w:pPr>
        <w:pStyle w:val="BodyText"/>
      </w:pPr>
      <w:r>
        <w:rPr>
          <w:bCs/>
          <w:b/>
        </w:rPr>
        <w:t xml:space="preserve">Subject:</w:t>
      </w:r>
      <w:r>
        <w:t xml:space="preserve"> </w:t>
      </w:r>
      <w:r>
        <w:t xml:space="preserve">Mathematics</w:t>
      </w:r>
      <w:r>
        <w:br/>
      </w:r>
      <w:r>
        <w:rPr>
          <w:bCs/>
          <w:b/>
        </w:rPr>
        <w:t xml:space="preserve">Grade Level:</w:t>
      </w:r>
      <w:r>
        <w:t xml:space="preserve"> </w:t>
      </w:r>
      <w:r>
        <w:t xml:space="preserve">9th Grade</w:t>
      </w:r>
      <w:r>
        <w:br/>
      </w:r>
      <w:r>
        <w:rPr>
          <w:bCs/>
          <w:b/>
        </w:rPr>
        <w:t xml:space="preserve">Observer:</w:t>
      </w:r>
      <w:r>
        <w:t xml:space="preserve"> </w:t>
      </w:r>
      <w:r>
        <w:t xml:space="preserve">Senior Methodologist</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professional development standards established for educational institutions in</w:t>
      </w:r>
      <w:r>
        <w:t xml:space="preserve"> </w:t>
      </w:r>
      <w:r>
        <w:rPr>
          <w:bCs/>
          <w:b/>
        </w:rPr>
        <w:t xml:space="preserve">Moscow, Russia</w:t>
      </w:r>
      <w:r>
        <w:t xml:space="preserve">. The purpose of this evaluation is to provide constructive feedback to a</w:t>
      </w:r>
      <w:r>
        <w:t xml:space="preserve"> </w:t>
      </w:r>
      <w:r>
        <w:rPr>
          <w:bCs/>
          <w:b/>
        </w:rPr>
        <w:t xml:space="preserve">Teacher Secondary</w:t>
      </w:r>
      <w:r>
        <w:t xml:space="preserve"> </w:t>
      </w:r>
      <w:r>
        <w:t xml:space="preserve">regarding their instructional methods, classroom management, and alignment with the Federal State Educational Standards (FGOS). The observation took place within a standard secondary school environment in the Moscow region, focusing on the delivery of the national curriculum.</w:t>
      </w:r>
    </w:p>
    <w:p>
      <w:pPr>
        <w:pStyle w:val="BodyText"/>
      </w:pPr>
      <w:r>
        <w:t xml:space="preserve">The review aims to assess the teacher's ability to foster critical thinking, manage a diverse classroom, and utilize modern pedagogical tools. In the context of Moscow's competitive educational landscape, the expectation for a</w:t>
      </w:r>
      <w:r>
        <w:t xml:space="preserve"> </w:t>
      </w:r>
      <w:r>
        <w:rPr>
          <w:bCs/>
          <w:b/>
        </w:rPr>
        <w:t xml:space="preserve">Teacher Secondary</w:t>
      </w:r>
      <w:r>
        <w:t xml:space="preserve"> </w:t>
      </w:r>
      <w:r>
        <w:t xml:space="preserve">is not merely to transmit knowledge but to prepare students for high-stakes examinations such as the OGE (Basic State Exam) and the Unified State Exam (USE). This report details the findings from a 45-minute lesson observation.</w:t>
      </w:r>
    </w:p>
    <w:bookmarkEnd w:id="21"/>
    <w:bookmarkStart w:id="22" w:name="lesson-planning-and-curriculum-alignment"/>
    <w:p>
      <w:pPr>
        <w:pStyle w:val="Heading2"/>
      </w:pPr>
      <w:r>
        <w:t xml:space="preserve">2. Lesson Planning and Curriculum Alignment</w:t>
      </w:r>
    </w:p>
    <w:p>
      <w:pPr>
        <w:pStyle w:val="FirstParagraph"/>
      </w:pPr>
      <w:r>
        <w:t xml:space="preserve">The lesson plan demonstrated a clear understanding of the subject matter and its place within the broader secondary curriculum. The</w:t>
      </w:r>
      <w:r>
        <w:t xml:space="preserve"> </w:t>
      </w:r>
      <w:r>
        <w:rPr>
          <w:bCs/>
          <w:b/>
        </w:rPr>
        <w:t xml:space="preserve">Teacher Secondary</w:t>
      </w:r>
      <w:r>
        <w:t xml:space="preserve"> </w:t>
      </w:r>
      <w:r>
        <w:t xml:space="preserve">successfully integrated the required topics for the 9th-grade mathematics syllabus. The objectives were clearly stated at the beginning of the lesson, ensuring that students understood the learning outcomes.</w:t>
      </w:r>
    </w:p>
    <w:p>
      <w:pPr>
        <w:pStyle w:val="BodyText"/>
      </w:pPr>
      <w:r>
        <w:t xml:space="preserve">However, there is room for improvement in differentiating instruction. While the core content was delivered effectively to the average student, the lesson lacked sufficient extension activities for high-achieving students, a common requirement in Moscow's top-tier schools. The materials used were consistent with the approved textbooks, but the integration of digital resources was minimal. To align with the modernization goals of the Moscow Department of Education, the teacher should incorporate more interactive digital platforms to enhance student engagement.</w:t>
      </w:r>
    </w:p>
    <w:bookmarkEnd w:id="22"/>
    <w:bookmarkStart w:id="23" w:name="instructional-delivery-and-methodology"/>
    <w:p>
      <w:pPr>
        <w:pStyle w:val="Heading2"/>
      </w:pPr>
      <w:r>
        <w:t xml:space="preserve">3. Instructional Delivery and Methodology</w:t>
      </w:r>
    </w:p>
    <w:p>
      <w:pPr>
        <w:pStyle w:val="FirstParagraph"/>
      </w:pPr>
      <w:r>
        <w:t xml:space="preserve">The instructional delivery was structured and logical. The</w:t>
      </w:r>
      <w:r>
        <w:t xml:space="preserve"> </w:t>
      </w:r>
      <w:r>
        <w:rPr>
          <w:bCs/>
          <w:b/>
        </w:rPr>
        <w:t xml:space="preserve">Teacher Secondary</w:t>
      </w:r>
      <w:r>
        <w:t xml:space="preserve"> </w:t>
      </w:r>
      <w:r>
        <w:t xml:space="preserve">utilized a direct instruction method for the initial explanation of concepts, which was clear and concise. The teacher's command of the subject matter was evident, and they were able to answer student questions accurately. The pacing of the lesson was generally appropriate, allowing time for practice and consolidation.</w:t>
      </w:r>
    </w:p>
    <w:p>
      <w:pPr>
        <w:pStyle w:val="BodyText"/>
      </w:pPr>
      <w:r>
        <w:t xml:space="preserve">A notable strength was the teacher's ability to connect abstract mathematical concepts to real-world applications, which is a key competency emphasized in the current Russian educational framework. However, the lesson was heavily teacher-centered. There was limited opportunity for student-led inquiry or collaborative problem-solving. In a</w:t>
      </w:r>
      <w:r>
        <w:t xml:space="preserve"> </w:t>
      </w:r>
      <w:r>
        <w:rPr>
          <w:bCs/>
          <w:b/>
        </w:rPr>
        <w:t xml:space="preserve">Peer Review Report</w:t>
      </w:r>
      <w:r>
        <w:t xml:space="preserve"> </w:t>
      </w:r>
      <w:r>
        <w:t xml:space="preserve">context, it is recommended that the teacher adopt more student-centered approaches, such as group work or peer teaching, to develop students' communication and collaboration skills.</w:t>
      </w:r>
    </w:p>
    <w:bookmarkEnd w:id="23"/>
    <w:bookmarkStart w:id="24" w:name="classroom-management-and-environment"/>
    <w:p>
      <w:pPr>
        <w:pStyle w:val="Heading2"/>
      </w:pPr>
      <w:r>
        <w:t xml:space="preserve">4. Classroom Management and Environment</w:t>
      </w:r>
    </w:p>
    <w:p>
      <w:pPr>
        <w:pStyle w:val="FirstParagraph"/>
      </w:pPr>
      <w:r>
        <w:t xml:space="preserve">Classroom management was effective. The</w:t>
      </w:r>
      <w:r>
        <w:t xml:space="preserve"> </w:t>
      </w:r>
      <w:r>
        <w:rPr>
          <w:bCs/>
          <w:b/>
        </w:rPr>
        <w:t xml:space="preserve">Teacher Secondary</w:t>
      </w:r>
      <w:r>
        <w:t xml:space="preserve"> </w:t>
      </w:r>
      <w:r>
        <w:t xml:space="preserve">maintained a respectful and orderly environment, which is crucial for productive learning. Students were attentive and followed instructions promptly. The teacher established clear expectations for behavior and academic work, and these were consistently enforced.</w:t>
      </w:r>
    </w:p>
    <w:p>
      <w:pPr>
        <w:pStyle w:val="BodyText"/>
      </w:pPr>
      <w:r>
        <w:t xml:space="preserve">The physical environment of the classroom was clean and organized. Visual aids, including charts and formulas, were displayed prominently. However, the seating arrangement was traditional, with rows of desks facing the front. This arrangement limits interaction among students. For a secondary school in</w:t>
      </w:r>
      <w:r>
        <w:t xml:space="preserve"> </w:t>
      </w:r>
      <w:r>
        <w:rPr>
          <w:bCs/>
          <w:b/>
        </w:rPr>
        <w:t xml:space="preserve">Moscow, Russia</w:t>
      </w:r>
      <w:r>
        <w:t xml:space="preserve">, where collaborative learning is increasingly valued, rearranging the seating to facilitate group work could significantly enhance the learning experience.</w:t>
      </w:r>
    </w:p>
    <w:bookmarkEnd w:id="24"/>
    <w:bookmarkStart w:id="25" w:name="assessment-and-feedback"/>
    <w:p>
      <w:pPr>
        <w:pStyle w:val="Heading2"/>
      </w:pPr>
      <w:r>
        <w:t xml:space="preserve">5. Assessment and Feedback</w:t>
      </w:r>
    </w:p>
    <w:p>
      <w:pPr>
        <w:pStyle w:val="FirstParagraph"/>
      </w:pPr>
      <w:r>
        <w:t xml:space="preserve">Formative assessment was used throughout the lesson. The teacher asked probing questions to check for understanding and provided immediate feedback. This is a positive practice that helps students identify and correct misconceptions. The teacher also used exit tickets at the end of the lesson to assess student learning, which is an effective strategy for gauging the success of the lesson.</w:t>
      </w:r>
    </w:p>
    <w:p>
      <w:pPr>
        <w:pStyle w:val="BodyText"/>
      </w:pPr>
      <w:r>
        <w:t xml:space="preserve">However, the feedback provided was often generic. To improve, the</w:t>
      </w:r>
      <w:r>
        <w:t xml:space="preserve"> </w:t>
      </w:r>
      <w:r>
        <w:rPr>
          <w:bCs/>
          <w:b/>
        </w:rPr>
        <w:t xml:space="preserve">Teacher Secondary</w:t>
      </w:r>
      <w:r>
        <w:t xml:space="preserve"> </w:t>
      </w:r>
      <w:r>
        <w:t xml:space="preserve">should provide more specific and actionable feedback that guides students on how to improve their performance. Additionally, the teacher should incorporate more opportunities for self-assessment and peer assessment to develop students' metacognitive skills.</w:t>
      </w:r>
    </w:p>
    <w:bookmarkEnd w:id="25"/>
    <w:bookmarkStart w:id="27" w:name="overall-rating-and-recommendations"/>
    <w:p>
      <w:pPr>
        <w:pStyle w:val="Heading2"/>
      </w:pPr>
      <w:r>
        <w:t xml:space="preserve">6. Overall Rating and Recommendations</w:t>
      </w:r>
    </w:p>
    <w:p>
      <w:pPr>
        <w:pStyle w:val="FirstParagraph"/>
      </w:pPr>
      <w:r>
        <w:t xml:space="preserve">Rating Scale: 1 (Unsatisfactory), 2 (Needs Improvement), 3 (Proficient), 4 (Distinguished)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Lesson Planning</w:t>
            </w:r>
          </w:p>
        </w:tc>
        <w:tc>
          <w:tcPr/>
          <w:p>
            <w:pPr>
              <w:pStyle w:val="Compact"/>
              <w:jc w:val="left"/>
            </w:pPr>
            <w:r>
              <w:t xml:space="preserve">3</w:t>
            </w:r>
          </w:p>
        </w:tc>
        <w:tc>
          <w:tcPr/>
          <w:p>
            <w:pPr>
              <w:pStyle w:val="Compact"/>
              <w:jc w:val="left"/>
            </w:pPr>
            <w:r>
              <w:t xml:space="preserve">Well-structured but needs more differentiation.</w:t>
            </w:r>
          </w:p>
        </w:tc>
      </w:tr>
      <w:tr>
        <w:tc>
          <w:tcPr/>
          <w:p>
            <w:pPr>
              <w:pStyle w:val="Compact"/>
              <w:jc w:val="left"/>
            </w:pPr>
            <w:r>
              <w:t xml:space="preserve">Instructional Delivery</w:t>
            </w:r>
          </w:p>
        </w:tc>
        <w:tc>
          <w:tcPr/>
          <w:p>
            <w:pPr>
              <w:pStyle w:val="Compact"/>
              <w:jc w:val="left"/>
            </w:pPr>
            <w:r>
              <w:t xml:space="preserve">3</w:t>
            </w:r>
          </w:p>
        </w:tc>
        <w:tc>
          <w:tcPr/>
          <w:p>
            <w:pPr>
              <w:pStyle w:val="Compact"/>
              <w:jc w:val="left"/>
            </w:pPr>
            <w:r>
              <w:t xml:space="preserve">Clear and knowledgeable, but too teacher-centered.</w:t>
            </w:r>
          </w:p>
        </w:tc>
      </w:tr>
      <w:tr>
        <w:tc>
          <w:tcPr/>
          <w:p>
            <w:pPr>
              <w:pStyle w:val="Compact"/>
              <w:jc w:val="left"/>
            </w:pPr>
            <w:r>
              <w:t xml:space="preserve">Classroom Management</w:t>
            </w:r>
          </w:p>
        </w:tc>
        <w:tc>
          <w:tcPr/>
          <w:p>
            <w:pPr>
              <w:pStyle w:val="Compact"/>
              <w:jc w:val="left"/>
            </w:pPr>
            <w:r>
              <w:t xml:space="preserve">4</w:t>
            </w:r>
          </w:p>
        </w:tc>
        <w:tc>
          <w:tcPr/>
          <w:p>
            <w:pPr>
              <w:pStyle w:val="Compact"/>
              <w:jc w:val="left"/>
            </w:pPr>
            <w:r>
              <w:t xml:space="preserve">Excellent control and positive environment.</w:t>
            </w:r>
          </w:p>
        </w:tc>
      </w:tr>
      <w:tr>
        <w:tc>
          <w:tcPr/>
          <w:p>
            <w:pPr>
              <w:pStyle w:val="Compact"/>
              <w:jc w:val="left"/>
            </w:pPr>
            <w:r>
              <w:t xml:space="preserve">Assessment and Feedback</w:t>
            </w:r>
          </w:p>
        </w:tc>
        <w:tc>
          <w:tcPr/>
          <w:p>
            <w:pPr>
              <w:pStyle w:val="Compact"/>
              <w:jc w:val="left"/>
            </w:pPr>
            <w:r>
              <w:t xml:space="preserve">3</w:t>
            </w:r>
          </w:p>
        </w:tc>
        <w:tc>
          <w:tcPr/>
          <w:p>
            <w:pPr>
              <w:pStyle w:val="Compact"/>
              <w:jc w:val="left"/>
            </w:pPr>
            <w:r>
              <w:t xml:space="preserve">Good use of formative assessment, feedback needs to be more specific.</w:t>
            </w:r>
          </w:p>
        </w:tc>
      </w:tr>
      <w:tr>
        <w:tc>
          <w:tcPr/>
          <w:p>
            <w:pPr>
              <w:pStyle w:val="Compact"/>
              <w:jc w:val="left"/>
            </w:pPr>
            <w:r>
              <w:t xml:space="preserve">Overall Performance</w:t>
            </w:r>
          </w:p>
        </w:tc>
        <w:tc>
          <w:tcPr/>
          <w:p>
            <w:pPr>
              <w:pStyle w:val="Compact"/>
              <w:jc w:val="left"/>
            </w:pPr>
            <w:r>
              <w:t xml:space="preserve">3</w:t>
            </w:r>
          </w:p>
        </w:tc>
        <w:tc>
          <w:tcPr/>
          <w:p>
            <w:pPr>
              <w:pStyle w:val="Compact"/>
              <w:jc w:val="left"/>
            </w:pPr>
            <w:r>
              <w:t xml:space="preserve">Proficient teacher with potential for growth.</w:t>
            </w:r>
          </w:p>
        </w:tc>
      </w:tr>
    </w:tbl>
    <w:bookmarkStart w:id="26" w:name="X25f1a5487e1a2d8b34ff407ea6279ada8e2f6c2"/>
    <w:p>
      <w:pPr>
        <w:pStyle w:val="Heading3"/>
      </w:pPr>
      <w:r>
        <w:t xml:space="preserve">Key Recommendations for Professional Development:</w:t>
      </w:r>
    </w:p>
    <w:p>
      <w:pPr>
        <w:numPr>
          <w:ilvl w:val="0"/>
          <w:numId w:val="1001"/>
        </w:numPr>
        <w:pStyle w:val="Compact"/>
      </w:pPr>
      <w:r>
        <w:t xml:space="preserve">Incorporate more student-centered learning strategies, such as group work and collaborative projects.</w:t>
      </w:r>
    </w:p>
    <w:p>
      <w:pPr>
        <w:numPr>
          <w:ilvl w:val="0"/>
          <w:numId w:val="1001"/>
        </w:numPr>
        <w:pStyle w:val="Compact"/>
      </w:pPr>
      <w:r>
        <w:t xml:space="preserve">Utilize digital tools and resources to enhance student engagement and cater to diverse learning styles.</w:t>
      </w:r>
    </w:p>
    <w:p>
      <w:pPr>
        <w:numPr>
          <w:ilvl w:val="0"/>
          <w:numId w:val="1001"/>
        </w:numPr>
        <w:pStyle w:val="Compact"/>
      </w:pPr>
      <w:r>
        <w:t xml:space="preserve">Provide more specific and actionable feedback to students to support their learning progress.</w:t>
      </w:r>
    </w:p>
    <w:p>
      <w:pPr>
        <w:numPr>
          <w:ilvl w:val="0"/>
          <w:numId w:val="1001"/>
        </w:numPr>
        <w:pStyle w:val="Compact"/>
      </w:pPr>
      <w:r>
        <w:t xml:space="preserve">Attend professional development workshops on differentiated instruction and modern pedagogical approaches.</w:t>
      </w:r>
    </w:p>
    <w:bookmarkEnd w:id="26"/>
    <w:bookmarkEnd w:id="27"/>
    <w:bookmarkStart w:id="28"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highlights the strengths and areas for improvement of the</w:t>
      </w:r>
      <w:r>
        <w:t xml:space="preserve"> </w:t>
      </w:r>
      <w:r>
        <w:rPr>
          <w:bCs/>
          <w:b/>
        </w:rPr>
        <w:t xml:space="preserve">Teacher Secondary</w:t>
      </w:r>
      <w:r>
        <w:t xml:space="preserve"> </w:t>
      </w:r>
      <w:r>
        <w:t xml:space="preserve">observed in</w:t>
      </w:r>
      <w:r>
        <w:t xml:space="preserve"> </w:t>
      </w:r>
      <w:r>
        <w:rPr>
          <w:bCs/>
          <w:b/>
        </w:rPr>
        <w:t xml:space="preserve">Moscow, Russia</w:t>
      </w:r>
      <w:r>
        <w:t xml:space="preserve">. The teacher demonstrates a solid foundation in subject knowledge and classroom management. By implementing the recommendations provided, the teacher can further enhance their instructional practice and better prepare students for the challenges of secondary education and beyond. Continuous professional development is essential for maintaining high standards in the dynamic educational environment of Moscow.</w:t>
      </w:r>
    </w:p>
    <w:bookmarkEnd w:id="28"/>
    <w:p>
      <w:pPr>
        <w:pStyle w:val="BodyText"/>
      </w:pPr>
      <w:r>
        <w:rPr>
          <w:bCs/>
          <w:b/>
        </w:rPr>
        <w:t xml:space="preserve">Observer Signature:</w:t>
      </w:r>
      <w:r>
        <w:br/>
      </w:r>
      <w:r>
        <w:t xml:space="preserve">[Name of Observer]</w:t>
      </w:r>
      <w:r>
        <w:br/>
      </w:r>
      <w:r>
        <w:t xml:space="preserve">Senior Methodologist</w:t>
      </w:r>
    </w:p>
    <w:p>
      <w:pPr>
        <w:pStyle w:val="BodyText"/>
      </w:pPr>
      <w:r>
        <w:rPr>
          <w:bCs/>
          <w:b/>
        </w:rPr>
        <w:t xml:space="preserve">Teacher Signature:</w:t>
      </w:r>
      <w:r>
        <w:br/>
      </w:r>
      <w:r>
        <w:t xml:space="preserve">[Name of Teacher]</w:t>
      </w:r>
      <w:r>
        <w:br/>
      </w:r>
      <w:r>
        <w:t xml:space="preserve">Secondary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 Moscow, Russia</dc:title>
  <dc:creator/>
  <dc:language>en</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