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Ministry of Education - Riyadh Region Directorate</w:t>
      </w:r>
    </w:p>
    <w:p>
      <w:pPr>
        <w:pStyle w:val="BodyText"/>
      </w:pPr>
      <w:r>
        <w:t xml:space="preserve">Aligned with Vision 2030 Educational Standards</w:t>
      </w:r>
    </w:p>
    <w:bookmarkEnd w:id="20"/>
    <w:p>
      <w:pPr>
        <w:pStyle w:val="BodyText"/>
      </w:pPr>
      <w:r>
        <w:t xml:space="preserve">Teacher Name:</w:t>
      </w:r>
      <w:r>
        <w:t xml:space="preserve"> </w:t>
      </w:r>
      <w:r>
        <w:t xml:space="preserve">[Insert Teacher Name]</w:t>
      </w:r>
    </w:p>
    <w:p>
      <w:pPr>
        <w:pStyle w:val="BodyText"/>
      </w:pPr>
      <w:r>
        <w:t xml:space="preserve">Subject:</w:t>
      </w:r>
      <w:r>
        <w:t xml:space="preserve"> </w:t>
      </w:r>
      <w:r>
        <w:t xml:space="preserve">[Insert Subject, e.g., Mathematics/Science]</w:t>
      </w:r>
    </w:p>
    <w:p>
      <w:pPr>
        <w:pStyle w:val="BodyText"/>
      </w:pPr>
      <w:r>
        <w:t xml:space="preserve">Grade Level:</w:t>
      </w:r>
      <w:r>
        <w:t xml:space="preserve"> </w:t>
      </w:r>
      <w:r>
        <w:t xml:space="preserve">Secondary (Grade 10-12)</w:t>
      </w:r>
    </w:p>
    <w:p>
      <w:pPr>
        <w:pStyle w:val="BodyText"/>
      </w:pPr>
      <w:r>
        <w:t xml:space="preserve">School Name:</w:t>
      </w:r>
      <w:r>
        <w:t xml:space="preserve"> </w:t>
      </w:r>
      <w:r>
        <w:t xml:space="preserve">[Insert School Name], Riyadh</w:t>
      </w:r>
    </w:p>
    <w:p>
      <w:pPr>
        <w:pStyle w:val="BodyText"/>
      </w:pPr>
      <w:r>
        <w:t xml:space="preserve">Reviewer Name:</w:t>
      </w:r>
      <w:r>
        <w:t xml:space="preserve"> </w:t>
      </w:r>
      <w:r>
        <w:t xml:space="preserve">[Insert Reviewer Name]</w:t>
      </w:r>
    </w:p>
    <w:p>
      <w:pPr>
        <w:pStyle w:val="BodyText"/>
      </w:pPr>
      <w:r>
        <w:t xml:space="preserve">Date of Observation:</w:t>
      </w:r>
      <w:r>
        <w:t xml:space="preserve"> </w:t>
      </w:r>
      <w:r>
        <w:t xml:space="preserve">[Insert Date]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instructional practices, classroom management, and professional conduct of a</w:t>
      </w:r>
      <w:r>
        <w:t xml:space="preserve"> </w:t>
      </w:r>
      <w:r>
        <w:rPr>
          <w:bCs/>
          <w:b/>
        </w:rPr>
        <w:t xml:space="preserve">Teacher Secondary</w:t>
      </w:r>
      <w:r>
        <w:t xml:space="preserve"> </w:t>
      </w:r>
      <w:r>
        <w:t xml:space="preserve">within the Riyadh educational district. The observation was conducted to ensure alignment with the Ministry of Education's standards and the broader goals of Saudi Vision 2030, which emphasizes high-quality education, critical thinking, and student empowerment. The review focuses on the teacher's ability to deliver the national curriculum effectively while fostering an inclusive and engaging learning environment for secondary-level students.</w:t>
      </w:r>
    </w:p>
    <w:bookmarkEnd w:id="21"/>
    <w:bookmarkStart w:id="22" w:name="instructional-planning-and-preparation"/>
    <w:p>
      <w:pPr>
        <w:pStyle w:val="Heading2"/>
      </w:pPr>
      <w:r>
        <w:t xml:space="preserve">2. Instructional Planning and Preparation</w:t>
      </w:r>
    </w:p>
    <w:p>
      <w:pPr>
        <w:pStyle w:val="FirstParagraph"/>
      </w:pPr>
      <w:r>
        <w:t xml:space="preserve">The</w:t>
      </w:r>
      <w:r>
        <w:t xml:space="preserve"> </w:t>
      </w:r>
      <w:r>
        <w:rPr>
          <w:bCs/>
          <w:b/>
        </w:rPr>
        <w:t xml:space="preserve">Teacher Secondary</w:t>
      </w:r>
      <w:r>
        <w:t xml:space="preserve"> </w:t>
      </w:r>
      <w:r>
        <w:t xml:space="preserve">demonstrated a high level of preparation. Lesson plans were aligned with the official Saudi curriculum standards for the specific subject and grade level. The objectives were clear, measurable, and communicated effectively to students at the beginning of the session.</w:t>
      </w:r>
    </w:p>
    <w:p>
      <w:pPr>
        <w:numPr>
          <w:ilvl w:val="0"/>
          <w:numId w:val="1001"/>
        </w:numPr>
        <w:pStyle w:val="Compact"/>
      </w:pPr>
      <w:r>
        <w:rPr>
          <w:bCs/>
          <w:b/>
        </w:rPr>
        <w:t xml:space="preserve">Curriculum Alignment:</w:t>
      </w:r>
      <w:r>
        <w:t xml:space="preserve"> </w:t>
      </w:r>
      <w:r>
        <w:t xml:space="preserve">The content covered matched the pacing guide required by the Riyadh Directorate of Education.</w:t>
      </w:r>
    </w:p>
    <w:p>
      <w:pPr>
        <w:numPr>
          <w:ilvl w:val="0"/>
          <w:numId w:val="1001"/>
        </w:numPr>
        <w:pStyle w:val="Compact"/>
      </w:pPr>
      <w:r>
        <w:rPr>
          <w:bCs/>
          <w:b/>
        </w:rPr>
        <w:t xml:space="preserve">Resource Utilization:</w:t>
      </w:r>
      <w:r>
        <w:t xml:space="preserve"> </w:t>
      </w:r>
      <w:r>
        <w:t xml:space="preserve">The teacher effectively utilized digital tools and smartboard technology, reflecting the modernization efforts in Riyadh schools.</w:t>
      </w:r>
    </w:p>
    <w:p>
      <w:pPr>
        <w:numPr>
          <w:ilvl w:val="0"/>
          <w:numId w:val="1001"/>
        </w:numPr>
        <w:pStyle w:val="Compact"/>
      </w:pPr>
      <w:r>
        <w:rPr>
          <w:bCs/>
          <w:b/>
        </w:rPr>
        <w:t xml:space="preserve">Differentiation:</w:t>
      </w:r>
      <w:r>
        <w:t xml:space="preserve"> </w:t>
      </w:r>
      <w:r>
        <w:t xml:space="preserve">Evidence of planning for diverse learning needs was observed, ensuring that both advanced and struggling students were supported.</w:t>
      </w:r>
    </w:p>
    <w:bookmarkEnd w:id="22"/>
    <w:bookmarkStart w:id="23" w:name="classroom-environment-and-management"/>
    <w:p>
      <w:pPr>
        <w:pStyle w:val="Heading2"/>
      </w:pPr>
      <w:r>
        <w:t xml:space="preserve">3. Classroom Environment and Management</w:t>
      </w:r>
    </w:p>
    <w:p>
      <w:pPr>
        <w:pStyle w:val="FirstParagraph"/>
      </w:pPr>
      <w:r>
        <w:t xml:space="preserve">The classroom environment was conducive to learning, respectful, and organized. As a</w:t>
      </w:r>
      <w:r>
        <w:t xml:space="preserve"> </w:t>
      </w:r>
      <w:r>
        <w:rPr>
          <w:bCs/>
          <w:b/>
        </w:rPr>
        <w:t xml:space="preserve">Teacher Secondary</w:t>
      </w:r>
      <w:r>
        <w:t xml:space="preserve">, managing adolescent students requires a balance of authority and approachability, which was successfully maintained. The physical layout of the classroom in Riyadh allowed for both direct instruction and collaborative group work.</w:t>
      </w:r>
    </w:p>
    <w:p>
      <w:pPr>
        <w:numPr>
          <w:ilvl w:val="0"/>
          <w:numId w:val="1002"/>
        </w:numPr>
        <w:pStyle w:val="Compact"/>
      </w:pPr>
      <w:r>
        <w:rPr>
          <w:bCs/>
          <w:b/>
        </w:rPr>
        <w:t xml:space="preserve">Behavior Management:</w:t>
      </w:r>
      <w:r>
        <w:t xml:space="preserve"> </w:t>
      </w:r>
      <w:r>
        <w:t xml:space="preserve">Students were engaged and respectful. Minor disruptions were handled discreetly and professionally without interrupting the flow of the lesson.</w:t>
      </w:r>
    </w:p>
    <w:p>
      <w:pPr>
        <w:numPr>
          <w:ilvl w:val="0"/>
          <w:numId w:val="1002"/>
        </w:numPr>
        <w:pStyle w:val="Compact"/>
      </w:pPr>
      <w:r>
        <w:rPr>
          <w:bCs/>
          <w:b/>
        </w:rPr>
        <w:t xml:space="preserve">Cultural Context:</w:t>
      </w:r>
      <w:r>
        <w:t xml:space="preserve"> </w:t>
      </w:r>
      <w:r>
        <w:t xml:space="preserve">The teacher maintained a professional atmosphere consistent with the cultural norms and values of Saudi Arabia, ensuring a safe and respectful space for all students.</w:t>
      </w:r>
    </w:p>
    <w:p>
      <w:pPr>
        <w:numPr>
          <w:ilvl w:val="0"/>
          <w:numId w:val="1002"/>
        </w:numPr>
        <w:pStyle w:val="Compact"/>
      </w:pPr>
      <w:r>
        <w:rPr>
          <w:bCs/>
          <w:b/>
        </w:rPr>
        <w:t xml:space="preserve">Student Engagement:</w:t>
      </w:r>
      <w:r>
        <w:t xml:space="preserve"> </w:t>
      </w:r>
      <w:r>
        <w:t xml:space="preserve">High levels of student participation were noted. The teacher used questioning techniques that encouraged critical thinking rather than rote memorization.</w:t>
      </w:r>
    </w:p>
    <w:bookmarkEnd w:id="23"/>
    <w:bookmarkStart w:id="24" w:name="instructional-delivery-and-pedagogy"/>
    <w:p>
      <w:pPr>
        <w:pStyle w:val="Heading2"/>
      </w:pPr>
      <w:r>
        <w:t xml:space="preserve">4. Instructional Delivery and Pedagogy</w:t>
      </w:r>
    </w:p>
    <w:p>
      <w:pPr>
        <w:pStyle w:val="FirstParagraph"/>
      </w:pPr>
      <w:r>
        <w:t xml:space="preserve">The instructional delivery was dynamic and student-centered. The</w:t>
      </w:r>
      <w:r>
        <w:t xml:space="preserve"> </w:t>
      </w:r>
      <w:r>
        <w:rPr>
          <w:bCs/>
          <w:b/>
        </w:rPr>
        <w:t xml:space="preserve">Teacher Secondary</w:t>
      </w:r>
      <w:r>
        <w:t xml:space="preserve"> </w:t>
      </w:r>
      <w:r>
        <w:t xml:space="preserve">moved beyond traditional lecturing methods, incorporating active learning strategies suitable for secondary education. This approach supports the Ministry's shift towards competency-based education.</w:t>
      </w:r>
    </w:p>
    <w:p>
      <w:pPr>
        <w:numPr>
          <w:ilvl w:val="0"/>
          <w:numId w:val="1003"/>
        </w:numPr>
        <w:pStyle w:val="Compact"/>
      </w:pPr>
      <w:r>
        <w:rPr>
          <w:bCs/>
          <w:b/>
        </w:rPr>
        <w:t xml:space="preserve">Clarity of Explanation:</w:t>
      </w:r>
      <w:r>
        <w:t xml:space="preserve"> </w:t>
      </w:r>
      <w:r>
        <w:t xml:space="preserve">Concepts were explained clearly with relevant examples. The teacher checked for understanding frequently through formative assessment techniques.</w:t>
      </w:r>
    </w:p>
    <w:p>
      <w:pPr>
        <w:numPr>
          <w:ilvl w:val="0"/>
          <w:numId w:val="1003"/>
        </w:numPr>
        <w:pStyle w:val="Compact"/>
      </w:pPr>
      <w:r>
        <w:rPr>
          <w:bCs/>
          <w:b/>
        </w:rPr>
        <w:t xml:space="preserve">Use of Technology:</w:t>
      </w:r>
      <w:r>
        <w:t xml:space="preserve"> </w:t>
      </w:r>
      <w:r>
        <w:t xml:space="preserve">Integration of educational apps and online resources was seamless, enhancing the learning experience.</w:t>
      </w:r>
    </w:p>
    <w:p>
      <w:pPr>
        <w:numPr>
          <w:ilvl w:val="0"/>
          <w:numId w:val="1003"/>
        </w:numPr>
        <w:pStyle w:val="Compact"/>
      </w:pPr>
      <w:r>
        <w:rPr>
          <w:bCs/>
          <w:b/>
        </w:rPr>
        <w:t xml:space="preserve">Critical Thinking:</w:t>
      </w:r>
      <w:r>
        <w:t xml:space="preserve"> </w:t>
      </w:r>
      <w:r>
        <w:t xml:space="preserve">The teacher posed open-ended questions that required students to analyze, evaluate, and create, aligning with the higher-order thinking skills promoted in the new Saudi educational framework.</w:t>
      </w:r>
    </w:p>
    <w:bookmarkEnd w:id="24"/>
    <w:bookmarkStart w:id="25" w:name="assessment-and-feedback"/>
    <w:p>
      <w:pPr>
        <w:pStyle w:val="Heading2"/>
      </w:pPr>
      <w:r>
        <w:t xml:space="preserve">5. Assessment and Feedback</w:t>
      </w:r>
    </w:p>
    <w:p>
      <w:pPr>
        <w:pStyle w:val="FirstParagraph"/>
      </w:pPr>
      <w:r>
        <w:t xml:space="preserve">Assessment practices were robust and aligned with learning objectives. The</w:t>
      </w:r>
      <w:r>
        <w:t xml:space="preserve"> </w:t>
      </w:r>
      <w:r>
        <w:rPr>
          <w:bCs/>
          <w:b/>
        </w:rPr>
        <w:t xml:space="preserve">Teacher Secondary</w:t>
      </w:r>
      <w:r>
        <w:t xml:space="preserve"> </w:t>
      </w:r>
      <w:r>
        <w:t xml:space="preserve">provided timely and constructive feedback to students, helping them identify areas for improvement.</w:t>
      </w:r>
    </w:p>
    <w:p>
      <w:pPr>
        <w:numPr>
          <w:ilvl w:val="0"/>
          <w:numId w:val="1004"/>
        </w:numPr>
        <w:pStyle w:val="Compact"/>
      </w:pPr>
      <w:r>
        <w:rPr>
          <w:bCs/>
          <w:b/>
        </w:rPr>
        <w:t xml:space="preserve">Formative Assessment:</w:t>
      </w:r>
      <w:r>
        <w:t xml:space="preserve"> </w:t>
      </w:r>
      <w:r>
        <w:t xml:space="preserve">Exit tickets and in-class quizzes were used effectively to gauge student understanding.</w:t>
      </w:r>
    </w:p>
    <w:p>
      <w:pPr>
        <w:numPr>
          <w:ilvl w:val="0"/>
          <w:numId w:val="1004"/>
        </w:numPr>
        <w:pStyle w:val="Compact"/>
      </w:pPr>
      <w:r>
        <w:rPr>
          <w:bCs/>
          <w:b/>
        </w:rPr>
        <w:t xml:space="preserve">Feedback Quality:</w:t>
      </w:r>
      <w:r>
        <w:t xml:space="preserve"> </w:t>
      </w:r>
      <w:r>
        <w:t xml:space="preserve">Feedback was specific, actionable, and encouraging. It focused on the task rather than the student, promoting a growth mindset.</w:t>
      </w:r>
    </w:p>
    <w:p>
      <w:pPr>
        <w:numPr>
          <w:ilvl w:val="0"/>
          <w:numId w:val="1004"/>
        </w:numPr>
        <w:pStyle w:val="Compact"/>
      </w:pPr>
      <w:r>
        <w:rPr>
          <w:bCs/>
          <w:b/>
        </w:rPr>
        <w:t xml:space="preserve">Data Usage:</w:t>
      </w:r>
      <w:r>
        <w:t xml:space="preserve"> </w:t>
      </w:r>
      <w:r>
        <w:t xml:space="preserve">The teacher demonstrated an ability to use assessment data to adjust instruction and provide targeted support.</w:t>
      </w:r>
    </w:p>
    <w:bookmarkEnd w:id="25"/>
    <w:bookmarkStart w:id="26" w:name="professionalism-and-collaboration"/>
    <w:p>
      <w:pPr>
        <w:pStyle w:val="Heading2"/>
      </w:pPr>
      <w:r>
        <w:t xml:space="preserve">6. Professionalism and Collaboration</w:t>
      </w:r>
    </w:p>
    <w:p>
      <w:pPr>
        <w:pStyle w:val="FirstParagraph"/>
      </w:pPr>
      <w:r>
        <w:t xml:space="preserve">The teacher exhibited a high degree of professionalism. Punctuality, dress code, and communication with colleagues and students were all exemplary. The</w:t>
      </w:r>
      <w:r>
        <w:t xml:space="preserve"> </w:t>
      </w:r>
      <w:r>
        <w:rPr>
          <w:bCs/>
          <w:b/>
        </w:rPr>
        <w:t xml:space="preserve">Teacher Secondary</w:t>
      </w:r>
      <w:r>
        <w:t xml:space="preserve"> </w:t>
      </w:r>
      <w:r>
        <w:t xml:space="preserve">actively participated in professional learning communities (PLCs) and showed a willingness to collaborate with peers to improve instructional practices.</w:t>
      </w:r>
    </w:p>
    <w:p>
      <w:pPr>
        <w:numPr>
          <w:ilvl w:val="0"/>
          <w:numId w:val="1005"/>
        </w:numPr>
        <w:pStyle w:val="Compact"/>
      </w:pPr>
      <w:r>
        <w:rPr>
          <w:bCs/>
          <w:b/>
        </w:rPr>
        <w:t xml:space="preserve">Communication:</w:t>
      </w:r>
      <w:r>
        <w:t xml:space="preserve"> </w:t>
      </w:r>
      <w:r>
        <w:t xml:space="preserve">Clear and respectful communication with students, parents, and colleagues.</w:t>
      </w:r>
    </w:p>
    <w:p>
      <w:pPr>
        <w:numPr>
          <w:ilvl w:val="0"/>
          <w:numId w:val="1005"/>
        </w:numPr>
        <w:pStyle w:val="Compact"/>
      </w:pPr>
      <w:r>
        <w:rPr>
          <w:bCs/>
          <w:b/>
        </w:rPr>
        <w:t xml:space="preserve">Continuous Improvement:</w:t>
      </w:r>
      <w:r>
        <w:t xml:space="preserve"> </w:t>
      </w:r>
      <w:r>
        <w:t xml:space="preserve">The teacher showed openness to feedback and a commitment to professional development.</w:t>
      </w:r>
    </w:p>
    <w:p>
      <w:pPr>
        <w:numPr>
          <w:ilvl w:val="0"/>
          <w:numId w:val="1005"/>
        </w:numPr>
        <w:pStyle w:val="Compact"/>
      </w:pPr>
      <w:r>
        <w:rPr>
          <w:bCs/>
          <w:b/>
        </w:rPr>
        <w:t xml:space="preserve">Role Modeling:</w:t>
      </w:r>
      <w:r>
        <w:t xml:space="preserve"> </w:t>
      </w:r>
      <w:r>
        <w:t xml:space="preserve">The teacher served as a positive role model for students, demonstrating integrity, respect, and a passion for learning.</w:t>
      </w:r>
    </w:p>
    <w:p>
      <w:pPr>
        <w:pStyle w:val="FirstParagraph"/>
      </w:pPr>
      <w:r>
        <w:t xml:space="preserve">Overall Performance Rating: Exceeds Expectations</w:t>
      </w:r>
    </w:p>
    <w:p>
      <w:pPr>
        <w:pStyle w:val="BodyText"/>
      </w:pPr>
      <w:r>
        <w:t xml:space="preserve">The</w:t>
      </w:r>
      <w:r>
        <w:t xml:space="preserve"> </w:t>
      </w:r>
      <w:r>
        <w:rPr>
          <w:bCs/>
          <w:b/>
        </w:rPr>
        <w:t xml:space="preserve">Teacher Secondary</w:t>
      </w:r>
      <w:r>
        <w:t xml:space="preserve"> </w:t>
      </w:r>
      <w:r>
        <w:t xml:space="preserve">has demonstrated exceptional competence in all areas reviewed. The instructional practices observed are in line with the highest standards expected in Riyadh schools and contribute significantly to the educational goals of Saudi Arabia.</w:t>
      </w:r>
    </w:p>
    <w:bookmarkEnd w:id="26"/>
    <w:bookmarkStart w:id="27" w:name="recommendations-for-growth"/>
    <w:p>
      <w:pPr>
        <w:pStyle w:val="Heading2"/>
      </w:pPr>
      <w:r>
        <w:t xml:space="preserve">7. Recommendations for Growth</w:t>
      </w:r>
    </w:p>
    <w:p>
      <w:pPr>
        <w:pStyle w:val="FirstParagraph"/>
      </w:pPr>
      <w:r>
        <w:t xml:space="preserve">While the performance was outstanding, the following areas are suggested for further development:</w:t>
      </w:r>
    </w:p>
    <w:p>
      <w:pPr>
        <w:numPr>
          <w:ilvl w:val="0"/>
          <w:numId w:val="1006"/>
        </w:numPr>
        <w:pStyle w:val="Compact"/>
      </w:pPr>
      <w:r>
        <w:rPr>
          <w:bCs/>
          <w:b/>
        </w:rPr>
        <w:t xml:space="preserve">Advanced Differentiation:</w:t>
      </w:r>
      <w:r>
        <w:t xml:space="preserve"> </w:t>
      </w:r>
      <w:r>
        <w:t xml:space="preserve">Continue to explore more advanced strategies for differentiating instruction for gifted students.</w:t>
      </w:r>
    </w:p>
    <w:p>
      <w:pPr>
        <w:numPr>
          <w:ilvl w:val="0"/>
          <w:numId w:val="1006"/>
        </w:numPr>
        <w:pStyle w:val="Compact"/>
      </w:pPr>
      <w:r>
        <w:rPr>
          <w:bCs/>
          <w:b/>
        </w:rPr>
        <w:t xml:space="preserve">Project-Based Learning:</w:t>
      </w:r>
      <w:r>
        <w:t xml:space="preserve"> </w:t>
      </w:r>
      <w:r>
        <w:t xml:space="preserve">Incorporate more long-term, interdisciplinary projects that connect classroom learning to real-world issues in Saudi Arabia.</w:t>
      </w:r>
    </w:p>
    <w:p>
      <w:pPr>
        <w:numPr>
          <w:ilvl w:val="0"/>
          <w:numId w:val="1006"/>
        </w:numPr>
        <w:pStyle w:val="Compact"/>
      </w:pPr>
      <w:r>
        <w:rPr>
          <w:bCs/>
          <w:b/>
        </w:rPr>
        <w:t xml:space="preserve">Peer Mentoring:</w:t>
      </w:r>
      <w:r>
        <w:t xml:space="preserve"> </w:t>
      </w:r>
      <w:r>
        <w:t xml:space="preserve">Consider taking on a mentorship role to support newer teachers in the department.</w:t>
      </w:r>
    </w:p>
    <w:p>
      <w:pPr>
        <w:pStyle w:val="FirstParagraph"/>
      </w:pPr>
      <w:r>
        <w:rPr>
          <w:bCs/>
          <w:b/>
        </w:rPr>
        <w:t xml:space="preserve">Reviewer Signature:</w:t>
      </w:r>
    </w:p>
    <w:p>
      <w:pPr>
        <w:pStyle w:val="BodyText"/>
      </w:pPr>
      <w:r>
        <w:t xml:space="preserve">__________________________</w:t>
      </w:r>
    </w:p>
    <w:p>
      <w:pPr>
        <w:pStyle w:val="BodyText"/>
      </w:pPr>
      <w:r>
        <w:t xml:space="preserve">[Reviewer Name]</w:t>
      </w:r>
    </w:p>
    <w:p>
      <w:pPr>
        <w:pStyle w:val="BodyText"/>
      </w:pPr>
      <w:r>
        <w:t xml:space="preserve">[Date]</w:t>
      </w:r>
    </w:p>
    <w:p>
      <w:pPr>
        <w:pStyle w:val="BodyText"/>
      </w:pPr>
      <w:r>
        <w:rPr>
          <w:bCs/>
          <w:b/>
        </w:rPr>
        <w:t xml:space="preserve">Teacher Acknowledgment:</w:t>
      </w:r>
    </w:p>
    <w:p>
      <w:pPr>
        <w:pStyle w:val="BodyText"/>
      </w:pPr>
      <w:r>
        <w:t xml:space="preserve">__________________________</w:t>
      </w:r>
    </w:p>
    <w:p>
      <w:pPr>
        <w:pStyle w:val="BodyText"/>
      </w:pPr>
      <w:r>
        <w:t xml:space="preserve">[Teacher Name]</w:t>
      </w:r>
    </w:p>
    <w:p>
      <w:pPr>
        <w:pStyle w:val="BodyText"/>
      </w:pPr>
      <w:r>
        <w:t xml:space="preserve">[Date]</w:t>
      </w:r>
    </w:p>
    <w:p>
      <w:pPr>
        <w:pStyle w:val="BodyText"/>
      </w:pPr>
      <w:r>
        <w:t xml:space="preserve">This</w:t>
      </w:r>
      <w:r>
        <w:t xml:space="preserve"> </w:t>
      </w:r>
      <w:r>
        <w:rPr>
          <w:bCs/>
          <w:b/>
        </w:rPr>
        <w:t xml:space="preserve">Peer Review Report</w:t>
      </w:r>
      <w:r>
        <w:t xml:space="preserve"> </w:t>
      </w:r>
      <w:r>
        <w:t xml:space="preserve">is confidential and intended for professional development purposes only. It is prepared in accordance with the regulations of the Ministry of Education, Kingdom of Saudi Arabia, Riyadh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Riyadh, Saudi Arabia</dc:title>
  <dc:creator/>
  <dc:language>en</dc:language>
  <cp:keywords/>
  <dcterms:created xsi:type="dcterms:W3CDTF">2026-10-10T05:10:02Z</dcterms:created>
  <dcterms:modified xsi:type="dcterms:W3CDTF">2026-10-10T05:10:02Z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