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This document serves as a formal Peer Review Report for a Teacher Secondary within the educational framework of Singapore Singapore. The review is conducted in alignment with the Ministry of Education (MOE) guidelines and the Professional Development Framework (PDF) for teachers.</w:t>
      </w:r>
    </w:p>
    <w:bookmarkEnd w:id="20"/>
    <w:bookmarkStart w:id="21"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Designation:</w:t>
            </w:r>
          </w:p>
        </w:tc>
        <w:tc>
          <w:tcPr/>
          <w:p>
            <w:pPr>
              <w:pStyle w:val="Compact"/>
              <w:jc w:val="left"/>
            </w:pPr>
            <w:r>
              <w:t xml:space="preserve">Teacher Secondary</w:t>
            </w:r>
          </w:p>
        </w:tc>
      </w:tr>
      <w:tr>
        <w:tc>
          <w:tcPr/>
          <w:p>
            <w:pPr>
              <w:pStyle w:val="Compact"/>
              <w:jc w:val="left"/>
            </w:pPr>
            <w:r>
              <w:rPr>
                <w:bCs/>
                <w:b/>
              </w:rPr>
              <w:t xml:space="preserve">School:</w:t>
            </w:r>
          </w:p>
        </w:tc>
        <w:tc>
          <w:tcPr/>
          <w:p>
            <w:pPr>
              <w:pStyle w:val="Compact"/>
              <w:jc w:val="left"/>
            </w:pPr>
            <w:r>
              <w:t xml:space="preserve">[Insert School Name], Singapore Singapore</w:t>
            </w:r>
          </w:p>
        </w:tc>
      </w:tr>
      <w:tr>
        <w:tc>
          <w:tcPr/>
          <w:p>
            <w:pPr>
              <w:pStyle w:val="Compact"/>
              <w:jc w:val="left"/>
            </w:pPr>
            <w:r>
              <w:rPr>
                <w:bCs/>
                <w:b/>
              </w:rPr>
              <w:t xml:space="preserve">Subject Specialization:</w:t>
            </w:r>
          </w:p>
        </w:tc>
        <w:tc>
          <w:tcPr/>
          <w:p>
            <w:pPr>
              <w:pStyle w:val="Compact"/>
              <w:jc w:val="left"/>
            </w:pPr>
            <w:r>
              <w:t xml:space="preserve">[Insert Subject]</w:t>
            </w:r>
          </w:p>
        </w:tc>
      </w:tr>
      <w:tr>
        <w:tc>
          <w:tcPr/>
          <w:p>
            <w:pPr>
              <w:pStyle w:val="Compact"/>
              <w:jc w:val="left"/>
            </w:pPr>
            <w:r>
              <w:rPr>
                <w:bCs/>
                <w:b/>
              </w:rPr>
              <w:t xml:space="preserve">Reviewer Name:</w:t>
            </w:r>
          </w:p>
        </w:tc>
        <w:tc>
          <w:tcPr/>
          <w:p>
            <w:pPr>
              <w:pStyle w:val="Compact"/>
              <w:jc w:val="left"/>
            </w:pPr>
            <w:r>
              <w:t xml:space="preserve">[Insert Reviewer Name]</w:t>
            </w:r>
          </w:p>
        </w:tc>
      </w:tr>
      <w:tr>
        <w:tc>
          <w:tcPr/>
          <w:p>
            <w:pPr>
              <w:pStyle w:val="Compact"/>
              <w:jc w:val="left"/>
            </w:pPr>
            <w:r>
              <w:rPr>
                <w:bCs/>
                <w:b/>
              </w:rPr>
              <w:t xml:space="preserve">Reviewer Role:</w:t>
            </w:r>
          </w:p>
        </w:tc>
        <w:tc>
          <w:tcPr/>
          <w:p>
            <w:pPr>
              <w:pStyle w:val="Compact"/>
              <w:jc w:val="left"/>
            </w:pPr>
            <w:r>
              <w:t xml:space="preserve">Peer Reviewer / Senior Teacher</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Duration of Observation:</w:t>
            </w:r>
          </w:p>
        </w:tc>
        <w:tc>
          <w:tcPr/>
          <w:p>
            <w:pPr>
              <w:pStyle w:val="Compact"/>
              <w:jc w:val="left"/>
            </w:pPr>
            <w:r>
              <w:t xml:space="preserve">[Insert Duration]</w:t>
            </w:r>
          </w:p>
        </w:tc>
      </w:tr>
    </w:tbl>
    <w:bookmarkEnd w:id="21"/>
    <w:bookmarkStart w:id="22" w:name="purpose-of-the-peer-review"/>
    <w:p>
      <w:pPr>
        <w:pStyle w:val="Heading2"/>
      </w:pPr>
      <w:r>
        <w:t xml:space="preserve">2. Purpose of the Peer Review</w:t>
      </w:r>
    </w:p>
    <w:p>
      <w:pPr>
        <w:pStyle w:val="FirstParagraph"/>
      </w:pPr>
      <w:r>
        <w:t xml:space="preserve">The primary objective of this Peer Review Report is to provide constructive feedback to the Teacher Secondary to enhance pedagogical practices, classroom management, and student engagement. In the context of Singapore Singapore, where educational excellence is a national priority, this review aims to ensure that teaching standards align with the latest curriculum frameworks and pedagogical innovations promoted by the MOE.</w:t>
      </w:r>
    </w:p>
    <w:p>
      <w:pPr>
        <w:pStyle w:val="BodyText"/>
      </w:pPr>
      <w:r>
        <w:t xml:space="preserve">This review is not evaluative in a punitive sense but is designed to foster professional growth, reflective practice, and continuous improvement. It supports the Teacher Secondary in identifying strengths, addressing areas for development, and setting actionable goals for future practice.</w:t>
      </w:r>
    </w:p>
    <w:bookmarkEnd w:id="22"/>
    <w:bookmarkStart w:id="23" w:name="areas-of-focus"/>
    <w:p>
      <w:pPr>
        <w:pStyle w:val="Heading2"/>
      </w:pPr>
      <w:r>
        <w:t xml:space="preserve">3. Areas of Focus</w:t>
      </w:r>
    </w:p>
    <w:p>
      <w:pPr>
        <w:pStyle w:val="FirstParagraph"/>
      </w:pPr>
      <w:r>
        <w:t xml:space="preserve">The Peer Review Report focuses on the following key areas, which are critical for effective teaching at the secondary level in Singapore Singapore:</w:t>
      </w:r>
    </w:p>
    <w:p>
      <w:pPr>
        <w:numPr>
          <w:ilvl w:val="0"/>
          <w:numId w:val="1001"/>
        </w:numPr>
        <w:pStyle w:val="Compact"/>
      </w:pPr>
      <w:r>
        <w:rPr>
          <w:bCs/>
          <w:b/>
        </w:rPr>
        <w:t xml:space="preserve">Lesson Planning and Preparation:</w:t>
      </w:r>
      <w:r>
        <w:t xml:space="preserve"> </w:t>
      </w:r>
      <w:r>
        <w:t xml:space="preserve">Alignment with curriculum objectives, differentiation, and resource utilization.</w:t>
      </w:r>
    </w:p>
    <w:p>
      <w:pPr>
        <w:numPr>
          <w:ilvl w:val="0"/>
          <w:numId w:val="1001"/>
        </w:numPr>
        <w:pStyle w:val="Compact"/>
      </w:pPr>
      <w:r>
        <w:rPr>
          <w:bCs/>
          <w:b/>
        </w:rPr>
        <w:t xml:space="preserve">Instructional Strategies:</w:t>
      </w:r>
      <w:r>
        <w:t xml:space="preserve"> </w:t>
      </w:r>
      <w:r>
        <w:t xml:space="preserve">Use of varied teaching methods, integration of technology, and promotion of critical thinking.</w:t>
      </w:r>
    </w:p>
    <w:p>
      <w:pPr>
        <w:numPr>
          <w:ilvl w:val="0"/>
          <w:numId w:val="1001"/>
        </w:numPr>
        <w:pStyle w:val="Compact"/>
      </w:pPr>
      <w:r>
        <w:rPr>
          <w:bCs/>
          <w:b/>
        </w:rPr>
        <w:t xml:space="preserve">Classroom Management:</w:t>
      </w:r>
      <w:r>
        <w:t xml:space="preserve"> </w:t>
      </w:r>
      <w:r>
        <w:t xml:space="preserve">Establishment of routines, behavior management, and creation of a positive learning environment.</w:t>
      </w:r>
    </w:p>
    <w:p>
      <w:pPr>
        <w:numPr>
          <w:ilvl w:val="0"/>
          <w:numId w:val="1001"/>
        </w:numPr>
        <w:pStyle w:val="Compact"/>
      </w:pPr>
      <w:r>
        <w:rPr>
          <w:bCs/>
          <w:b/>
        </w:rPr>
        <w:t xml:space="preserve">Student Engagement:</w:t>
      </w:r>
      <w:r>
        <w:t xml:space="preserve"> </w:t>
      </w:r>
      <w:r>
        <w:t xml:space="preserve">Strategies to motivate students, encourage participation, and support diverse learning needs.</w:t>
      </w:r>
    </w:p>
    <w:p>
      <w:pPr>
        <w:numPr>
          <w:ilvl w:val="0"/>
          <w:numId w:val="1001"/>
        </w:numPr>
        <w:pStyle w:val="Compact"/>
      </w:pPr>
      <w:r>
        <w:rPr>
          <w:bCs/>
          <w:b/>
        </w:rPr>
        <w:t xml:space="preserve">Assessment and Feedback:</w:t>
      </w:r>
      <w:r>
        <w:t xml:space="preserve"> </w:t>
      </w:r>
      <w:r>
        <w:t xml:space="preserve">Use of formative and summative assessments, provision of timely and constructive feedback.</w:t>
      </w:r>
    </w:p>
    <w:p>
      <w:pPr>
        <w:numPr>
          <w:ilvl w:val="0"/>
          <w:numId w:val="1001"/>
        </w:numPr>
        <w:pStyle w:val="Compact"/>
      </w:pPr>
      <w:r>
        <w:rPr>
          <w:bCs/>
          <w:b/>
        </w:rPr>
        <w:t xml:space="preserve">Professionalism and Collaboration:</w:t>
      </w:r>
      <w:r>
        <w:t xml:space="preserve"> </w:t>
      </w:r>
      <w:r>
        <w:t xml:space="preserve">Engagement with colleagues, contribution to school initiatives, and commitment to professional development.</w:t>
      </w:r>
    </w:p>
    <w:bookmarkEnd w:id="23"/>
    <w:bookmarkStart w:id="30" w:name="observations-and-feedback"/>
    <w:p>
      <w:pPr>
        <w:pStyle w:val="Heading2"/>
      </w:pPr>
      <w:r>
        <w:t xml:space="preserve">4. Observations and Feedback</w:t>
      </w:r>
    </w:p>
    <w:bookmarkStart w:id="24" w:name="lesson-planning-and-preparation"/>
    <w:p>
      <w:pPr>
        <w:pStyle w:val="Heading3"/>
      </w:pPr>
      <w:r>
        <w:t xml:space="preserve">4.1 Lesson Planning and Preparation</w:t>
      </w:r>
    </w:p>
    <w:p>
      <w:pPr>
        <w:pStyle w:val="FirstParagraph"/>
      </w:pPr>
      <w:r>
        <w:t xml:space="preserve">The Teacher Secondary demonstrated thorough preparation for the observed lesson. The lesson plan was well-structured, with clear learning objectives aligned with the national curriculum. Resources, including digital tools and printed materials, were appropriately selected to support student learning. However, there is an opportunity to further differentiate tasks to cater to students with varying abilities, ensuring that all learners are challenged and supported.</w:t>
      </w:r>
    </w:p>
    <w:bookmarkEnd w:id="24"/>
    <w:bookmarkStart w:id="25" w:name="instructional-strategies"/>
    <w:p>
      <w:pPr>
        <w:pStyle w:val="Heading3"/>
      </w:pPr>
      <w:r>
        <w:t xml:space="preserve">4.2 Instructional Strategies</w:t>
      </w:r>
    </w:p>
    <w:p>
      <w:pPr>
        <w:pStyle w:val="FirstParagraph"/>
      </w:pPr>
      <w:r>
        <w:t xml:space="preserve">A variety of instructional strategies were employed, including direct instruction, group work, and inquiry-based learning. The Teacher Secondary effectively used technology to enhance student understanding, such as interactive presentations and online quizzes. To further improve, the teacher could incorporate more student-centered approaches, such as project-based learning, to foster deeper engagement and autonomy.</w:t>
      </w:r>
    </w:p>
    <w:bookmarkEnd w:id="25"/>
    <w:bookmarkStart w:id="26" w:name="classroom-management"/>
    <w:p>
      <w:pPr>
        <w:pStyle w:val="Heading3"/>
      </w:pPr>
      <w:r>
        <w:t xml:space="preserve">4.3 Classroom Management</w:t>
      </w:r>
    </w:p>
    <w:p>
      <w:pPr>
        <w:pStyle w:val="FirstParagraph"/>
      </w:pPr>
      <w:r>
        <w:t xml:space="preserve">The classroom environment was orderly and conducive to learning. The Teacher Secondary established clear expectations and routines, which were consistently enforced. Positive reinforcement was used effectively to encourage desired behaviors. One area for improvement is the proactive management of off-task behavior, which occasionally disrupted the flow of the lesson.</w:t>
      </w:r>
    </w:p>
    <w:bookmarkEnd w:id="26"/>
    <w:bookmarkStart w:id="27" w:name="student-engagement"/>
    <w:p>
      <w:pPr>
        <w:pStyle w:val="Heading3"/>
      </w:pPr>
      <w:r>
        <w:t xml:space="preserve">4.4 Student Engagement</w:t>
      </w:r>
    </w:p>
    <w:p>
      <w:pPr>
        <w:pStyle w:val="FirstParagraph"/>
      </w:pPr>
      <w:r>
        <w:t xml:space="preserve">Students were generally engaged and participated actively in class activities. The Teacher Secondary used questioning techniques effectively to stimulate thinking and discussion. However, some students appeared disengaged during certain segments of the lesson. Incorporating more interactive and collaborative tasks could help maintain higher levels of engagement across the class.</w:t>
      </w:r>
    </w:p>
    <w:bookmarkEnd w:id="27"/>
    <w:bookmarkStart w:id="28" w:name="assessment-and-feedback"/>
    <w:p>
      <w:pPr>
        <w:pStyle w:val="Heading3"/>
      </w:pPr>
      <w:r>
        <w:t xml:space="preserve">4.5 Assessment and Feedback</w:t>
      </w:r>
    </w:p>
    <w:p>
      <w:pPr>
        <w:pStyle w:val="FirstParagraph"/>
      </w:pPr>
      <w:r>
        <w:t xml:space="preserve">Formative assessment was integrated into the lesson through questioning and short tasks. Feedback provided to students was timely and specific, helping them understand their progress and areas for improvement. To enhance this further, the Teacher Secondary could explore peer and self-assessment strategies to promote student reflection and ownership of learning.</w:t>
      </w:r>
    </w:p>
    <w:bookmarkEnd w:id="28"/>
    <w:bookmarkStart w:id="29" w:name="professionalism-and-collaboration"/>
    <w:p>
      <w:pPr>
        <w:pStyle w:val="Heading3"/>
      </w:pPr>
      <w:r>
        <w:t xml:space="preserve">4.6 Professionalism and Collaboration</w:t>
      </w:r>
    </w:p>
    <w:p>
      <w:pPr>
        <w:pStyle w:val="FirstParagraph"/>
      </w:pPr>
      <w:r>
        <w:t xml:space="preserve">The Teacher Secondary demonstrated a strong commitment to professionalism, punctuality, and collaboration with colleagues. Active participation in departmental meetings and school initiatives was noted. Continued engagement in professional development opportunities, particularly in emerging pedagogical trends, would further support the teacher’s growth.</w:t>
      </w:r>
    </w:p>
    <w:bookmarkEnd w:id="29"/>
    <w:bookmarkEnd w:id="30"/>
    <w:bookmarkStart w:id="31" w:name="strengths"/>
    <w:p>
      <w:pPr>
        <w:pStyle w:val="Heading2"/>
      </w:pPr>
      <w:r>
        <w:t xml:space="preserve">5. Strengths</w:t>
      </w:r>
    </w:p>
    <w:p>
      <w:pPr>
        <w:numPr>
          <w:ilvl w:val="0"/>
          <w:numId w:val="1002"/>
        </w:numPr>
        <w:pStyle w:val="Compact"/>
      </w:pPr>
      <w:r>
        <w:t xml:space="preserve">Well-prepared and structured lesson plans aligned with curriculum objectives.</w:t>
      </w:r>
    </w:p>
    <w:p>
      <w:pPr>
        <w:numPr>
          <w:ilvl w:val="0"/>
          <w:numId w:val="1002"/>
        </w:numPr>
        <w:pStyle w:val="Compact"/>
      </w:pPr>
      <w:r>
        <w:t xml:space="preserve">Effective use of technology and varied instructional strategies.</w:t>
      </w:r>
    </w:p>
    <w:p>
      <w:pPr>
        <w:numPr>
          <w:ilvl w:val="0"/>
          <w:numId w:val="1002"/>
        </w:numPr>
        <w:pStyle w:val="Compact"/>
      </w:pPr>
      <w:r>
        <w:t xml:space="preserve">Positive classroom environment with clear routines and expectations.</w:t>
      </w:r>
    </w:p>
    <w:p>
      <w:pPr>
        <w:numPr>
          <w:ilvl w:val="0"/>
          <w:numId w:val="1002"/>
        </w:numPr>
        <w:pStyle w:val="Compact"/>
      </w:pPr>
      <w:r>
        <w:t xml:space="preserve">Timely and constructive feedback to students.</w:t>
      </w:r>
    </w:p>
    <w:p>
      <w:pPr>
        <w:numPr>
          <w:ilvl w:val="0"/>
          <w:numId w:val="1002"/>
        </w:numPr>
        <w:pStyle w:val="Compact"/>
      </w:pPr>
      <w:r>
        <w:t xml:space="preserve">Strong professionalism and collaborative spirit.</w:t>
      </w:r>
    </w:p>
    <w:bookmarkEnd w:id="31"/>
    <w:bookmarkStart w:id="32" w:name="areas-for-improvement"/>
    <w:p>
      <w:pPr>
        <w:pStyle w:val="Heading2"/>
      </w:pPr>
      <w:r>
        <w:t xml:space="preserve">6. Areas for Improvement</w:t>
      </w:r>
    </w:p>
    <w:p>
      <w:pPr>
        <w:numPr>
          <w:ilvl w:val="0"/>
          <w:numId w:val="1003"/>
        </w:numPr>
        <w:pStyle w:val="Compact"/>
      </w:pPr>
      <w:r>
        <w:t xml:space="preserve">Enhance differentiation to cater to diverse learning needs.</w:t>
      </w:r>
    </w:p>
    <w:p>
      <w:pPr>
        <w:numPr>
          <w:ilvl w:val="0"/>
          <w:numId w:val="1003"/>
        </w:numPr>
        <w:pStyle w:val="Compact"/>
      </w:pPr>
      <w:r>
        <w:t xml:space="preserve">Incorporate more student-centered and interactive learning activities.</w:t>
      </w:r>
    </w:p>
    <w:p>
      <w:pPr>
        <w:numPr>
          <w:ilvl w:val="0"/>
          <w:numId w:val="1003"/>
        </w:numPr>
        <w:pStyle w:val="Compact"/>
      </w:pPr>
      <w:r>
        <w:t xml:space="preserve">Proactively manage off-task behavior to minimize disruptions.</w:t>
      </w:r>
    </w:p>
    <w:p>
      <w:pPr>
        <w:numPr>
          <w:ilvl w:val="0"/>
          <w:numId w:val="1003"/>
        </w:numPr>
        <w:pStyle w:val="Compact"/>
      </w:pPr>
      <w:r>
        <w:t xml:space="preserve">Explore peer and self-assessment strategies to promote student reflection.</w:t>
      </w:r>
    </w:p>
    <w:p>
      <w:pPr>
        <w:numPr>
          <w:ilvl w:val="0"/>
          <w:numId w:val="1003"/>
        </w:numPr>
        <w:pStyle w:val="Compact"/>
      </w:pPr>
      <w:r>
        <w:t xml:space="preserve">Engage in ongoing professional development to stay updated with pedagogical innovations.</w:t>
      </w:r>
    </w:p>
    <w:bookmarkEnd w:id="32"/>
    <w:bookmarkStart w:id="33" w:name="recommendations-and-action-plan"/>
    <w:p>
      <w:pPr>
        <w:pStyle w:val="Heading2"/>
      </w:pPr>
      <w:r>
        <w:t xml:space="preserve">7. Recommendations and Action Plan</w:t>
      </w:r>
    </w:p>
    <w:p>
      <w:pPr>
        <w:pStyle w:val="FirstParagraph"/>
      </w:pPr>
      <w:r>
        <w:t xml:space="preserve">Based on the observations and feedback provided in this Peer Review Report, the following recommendations are made for the Teacher Secondary:</w:t>
      </w:r>
    </w:p>
    <w:p>
      <w:pPr>
        <w:numPr>
          <w:ilvl w:val="0"/>
          <w:numId w:val="1004"/>
        </w:numPr>
        <w:pStyle w:val="Compact"/>
      </w:pPr>
      <w:r>
        <w:rPr>
          <w:bCs/>
          <w:b/>
        </w:rPr>
        <w:t xml:space="preserve">Differentiation:</w:t>
      </w:r>
      <w:r>
        <w:t xml:space="preserve"> </w:t>
      </w:r>
      <w:r>
        <w:t xml:space="preserve">Develop differentiated tasks and resources to support students with varying abilities. Consider using tiered assignments and flexible grouping.</w:t>
      </w:r>
    </w:p>
    <w:p>
      <w:pPr>
        <w:numPr>
          <w:ilvl w:val="0"/>
          <w:numId w:val="1004"/>
        </w:numPr>
        <w:pStyle w:val="Compact"/>
      </w:pPr>
      <w:r>
        <w:rPr>
          <w:bCs/>
          <w:b/>
        </w:rPr>
        <w:t xml:space="preserve">Student-Centered Learning:</w:t>
      </w:r>
      <w:r>
        <w:t xml:space="preserve"> </w:t>
      </w:r>
      <w:r>
        <w:t xml:space="preserve">Incorporate more project-based and inquiry-based learning activities to increase student engagement and autonomy.</w:t>
      </w:r>
    </w:p>
    <w:p>
      <w:pPr>
        <w:numPr>
          <w:ilvl w:val="0"/>
          <w:numId w:val="1004"/>
        </w:numPr>
        <w:pStyle w:val="Compact"/>
      </w:pPr>
      <w:r>
        <w:rPr>
          <w:bCs/>
          <w:b/>
        </w:rPr>
        <w:t xml:space="preserve">Classroom Management:</w:t>
      </w:r>
      <w:r>
        <w:t xml:space="preserve"> </w:t>
      </w:r>
      <w:r>
        <w:t xml:space="preserve">Implement proactive strategies to address off-task behavior, such as clear signals, proximity control, and positive reinforcement.</w:t>
      </w:r>
    </w:p>
    <w:p>
      <w:pPr>
        <w:numPr>
          <w:ilvl w:val="0"/>
          <w:numId w:val="1004"/>
        </w:numPr>
        <w:pStyle w:val="Compact"/>
      </w:pPr>
      <w:r>
        <w:rPr>
          <w:bCs/>
          <w:b/>
        </w:rPr>
        <w:t xml:space="preserve">Assessment Practices:</w:t>
      </w:r>
      <w:r>
        <w:t xml:space="preserve"> </w:t>
      </w:r>
      <w:r>
        <w:t xml:space="preserve">Introduce peer and self-assessment opportunities to encourage student reflection and ownership of learning.</w:t>
      </w:r>
    </w:p>
    <w:p>
      <w:pPr>
        <w:numPr>
          <w:ilvl w:val="0"/>
          <w:numId w:val="1004"/>
        </w:numPr>
        <w:pStyle w:val="Compact"/>
      </w:pPr>
      <w:r>
        <w:rPr>
          <w:bCs/>
          <w:b/>
        </w:rPr>
        <w:t xml:space="preserve">Professional Development:</w:t>
      </w:r>
      <w:r>
        <w:t xml:space="preserve"> </w:t>
      </w:r>
      <w:r>
        <w:t xml:space="preserve">Participate in workshops and training sessions focused on emerging pedagogical trends, such as AI in education and inclusive teaching practices.</w:t>
      </w:r>
    </w:p>
    <w:p>
      <w:pPr>
        <w:pStyle w:val="FirstParagraph"/>
      </w:pPr>
      <w:r>
        <w:t xml:space="preserve">The Teacher Secondary is encouraged to set specific, measurable, achievable, relevant, and time-bound (SMART) goals based on these recommendations. Regular follow-up meetings with the reviewer or mentor can help monitor progress and provide ongoing support.</w:t>
      </w:r>
    </w:p>
    <w:bookmarkEnd w:id="33"/>
    <w:bookmarkStart w:id="34" w:name="conclusion"/>
    <w:p>
      <w:pPr>
        <w:pStyle w:val="Heading2"/>
      </w:pPr>
      <w:r>
        <w:t xml:space="preserve">8. Conclusion</w:t>
      </w:r>
    </w:p>
    <w:p>
      <w:pPr>
        <w:pStyle w:val="FirstParagraph"/>
      </w:pPr>
      <w:r>
        <w:t xml:space="preserve">This Peer Review Report highlights the strengths and areas for improvement of the Teacher Secondary in the context of Singapore Singapore’s educational landscape. The teacher has demonstrated a strong foundation in pedagogical practices and professionalism. By addressing the identified areas for improvement and implementing the recommended action plan, the Teacher Secondary can further enhance their effectiveness and contribute to the continued excellence of education in Singapore Singapore.</w:t>
      </w:r>
    </w:p>
    <w:p>
      <w:pPr>
        <w:pStyle w:val="BodyText"/>
      </w:pPr>
      <w:r>
        <w:t xml:space="preserve">The review process is an ongoing journey of growth and development. It is hoped that this report will serve as a valuable tool for reflection and improvement, supporting the Teacher Secondary in their professional journey.</w:t>
      </w:r>
    </w:p>
    <w:bookmarkEnd w:id="34"/>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Teacher’s Signature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Singapore</dc:title>
  <dc:creator/>
  <dc:language>en</dc:language>
  <cp:keywords/>
  <dcterms:created xsi:type="dcterms:W3CDTF">2026-10-10T03:18:40Z</dcterms:created>
  <dcterms:modified xsi:type="dcterms:W3CDTF">2026-10-10T03:18:40Z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