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Teacher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t xml:space="preserve">Secondary Education Teacher Evaluation</w:t>
      </w:r>
    </w:p>
    <w:p>
      <w:pPr>
        <w:pStyle w:val="BodyText"/>
      </w:pPr>
      <w:r>
        <w:rPr>
          <w:bCs/>
          <w:b/>
        </w:rPr>
        <w:t xml:space="preserve">Location:</w:t>
      </w:r>
      <w:r>
        <w:t xml:space="preserve"> </w:t>
      </w:r>
      <w:r>
        <w:t xml:space="preserve">Ankara, Turkey</w:t>
      </w:r>
      <w:r>
        <w:br/>
      </w:r>
      <w:r>
        <w:rPr>
          <w:bCs/>
          <w:b/>
        </w:rPr>
        <w:t xml:space="preserve">Region:</w:t>
      </w:r>
      <w:r>
        <w:t xml:space="preserve"> </w:t>
      </w:r>
      <w:r>
        <w:t xml:space="preserve">Central Anatolia</w:t>
      </w:r>
      <w:r>
        <w:br/>
      </w:r>
      <w:r>
        <w:rPr>
          <w:bCs/>
          <w:b/>
        </w:rPr>
        <w:t xml:space="preserve">Academic Year:</w:t>
      </w:r>
      <w:r>
        <w:t xml:space="preserve"> </w:t>
      </w:r>
      <w:r>
        <w:t xml:space="preserve">2023-2024</w:t>
      </w:r>
    </w:p>
    <w:p>
      <w:pPr>
        <w:pStyle w:val="BodyText"/>
      </w:pPr>
      <w:r>
        <w:rPr>
          <w:bCs/>
          <w:b/>
        </w:rPr>
        <w:t xml:space="preserve">Report ID:</w:t>
      </w:r>
      <w:r>
        <w:t xml:space="preserve"> </w:t>
      </w:r>
      <w:r>
        <w:t xml:space="preserve">ANK-SEC-2024-089</w:t>
      </w:r>
      <w:r>
        <w:br/>
      </w:r>
      <w:r>
        <w:rPr>
          <w:bCs/>
          <w:b/>
        </w:rPr>
        <w:t xml:space="preserve">Date of Review:</w:t>
      </w:r>
      <w:r>
        <w:t xml:space="preserve"> </w:t>
      </w:r>
      <w:r>
        <w:t xml:space="preserve">October 24, 2023</w:t>
      </w:r>
      <w:r>
        <w:br/>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has been conducted in accordance with the professional development standards set forth by the Ministry of National Education (Milli Eğitim Bakanlığı - MEB) of the Republic of Turkey. The review focuses on the pedagogical practices, classroom management, and curriculum alignment of a Teacher Secondary within a public high school located in the Çankaya district of Ankara. The primary objective of this evaluation is to foster a culture of continuous improvement, ensuring that the educator meets the rigorous academic expectations required for secondary education in Turkey's capital city.</w:t>
      </w:r>
    </w:p>
    <w:p>
      <w:pPr>
        <w:pStyle w:val="BodyText"/>
      </w:pPr>
      <w:r>
        <w:t xml:space="preserve">The review process involved direct classroom observation, analysis of lesson plans, and a structured dialogue with the teacher. The findings indicate a strong commitment to student-centered learning, though there are specific areas regarding the integration of digital tools and differentiation strategies that require further development to align with the modern educational landscape of Ankara.</w:t>
      </w:r>
    </w:p>
    <w:bookmarkEnd w:id="21"/>
    <w:bookmarkStart w:id="22" w:name="context-and-methodology"/>
    <w:p>
      <w:pPr>
        <w:pStyle w:val="Heading2"/>
      </w:pPr>
      <w:r>
        <w:t xml:space="preserve">2. Context and Methodology</w:t>
      </w:r>
    </w:p>
    <w:p>
      <w:pPr>
        <w:pStyle w:val="FirstParagraph"/>
      </w:pPr>
      <w:r>
        <w:t xml:space="preserve">The review was conducted within the framework of the "Teacher Professional Development" regulations. The classroom environment observed was a Grade 10 Science class. The methodology utilized a triangulation approach:</w:t>
      </w:r>
    </w:p>
    <w:p>
      <w:pPr>
        <w:numPr>
          <w:ilvl w:val="0"/>
          <w:numId w:val="1001"/>
        </w:numPr>
        <w:pStyle w:val="Compact"/>
      </w:pPr>
      <w:r>
        <w:rPr>
          <w:bCs/>
          <w:b/>
        </w:rPr>
        <w:t xml:space="preserve">Classroom Observation:</w:t>
      </w:r>
      <w:r>
        <w:t xml:space="preserve"> </w:t>
      </w:r>
      <w:r>
        <w:t xml:space="preserve">A 90-minute session was observed to assess real-time instructional delivery.</w:t>
      </w:r>
    </w:p>
    <w:p>
      <w:pPr>
        <w:numPr>
          <w:ilvl w:val="0"/>
          <w:numId w:val="1001"/>
        </w:numPr>
        <w:pStyle w:val="Compact"/>
      </w:pPr>
      <w:r>
        <w:rPr>
          <w:bCs/>
          <w:b/>
        </w:rPr>
        <w:t xml:space="preserve">Document Analysis:</w:t>
      </w:r>
      <w:r>
        <w:t xml:space="preserve"> </w:t>
      </w:r>
      <w:r>
        <w:t xml:space="preserve">Review of the annual teaching program (Yıllık Ders Programı) and weekly lesson plans.</w:t>
      </w:r>
    </w:p>
    <w:p>
      <w:pPr>
        <w:numPr>
          <w:ilvl w:val="0"/>
          <w:numId w:val="1001"/>
        </w:numPr>
        <w:pStyle w:val="Compact"/>
      </w:pPr>
      <w:r>
        <w:rPr>
          <w:bCs/>
          <w:b/>
        </w:rPr>
        <w:t xml:space="preserve">Reflective Interview:</w:t>
      </w:r>
      <w:r>
        <w:t xml:space="preserve"> </w:t>
      </w:r>
      <w:r>
        <w:t xml:space="preserve">A post-observation conference to discuss strengths and areas for growth.</w:t>
      </w:r>
    </w:p>
    <w:p>
      <w:pPr>
        <w:pStyle w:val="FirstParagraph"/>
      </w:pPr>
      <w:r>
        <w:t xml:space="preserve">The evaluation criteria were adapted to reflect the specific cultural and academic context of Ankara, emphasizing the preparation of students for the national high school exit exam (LGS) and university entrance pathways.</w:t>
      </w:r>
    </w:p>
    <w:bookmarkEnd w:id="22"/>
    <w:bookmarkStart w:id="27" w:name="detailed-evaluation-criteria"/>
    <w:p>
      <w:pPr>
        <w:pStyle w:val="Heading2"/>
      </w:pPr>
      <w:r>
        <w:t xml:space="preserve">3. Detailed Evaluation Criteria</w:t>
      </w:r>
    </w:p>
    <w:bookmarkStart w:id="23" w:name="lesson-planning-and-curriculum-alignment"/>
    <w:p>
      <w:pPr>
        <w:pStyle w:val="Heading3"/>
      </w:pPr>
      <w:r>
        <w:t xml:space="preserve">3.1. Lesson Planning and Curriculum Alignment</w:t>
      </w:r>
    </w:p>
    <w:p>
      <w:pPr>
        <w:pStyle w:val="FirstParagraph"/>
      </w:pPr>
      <w:r>
        <w:t xml:space="preserve">The Teacher Secondary demonstrated a thorough understanding of the national curriculum guidelines issued by the MEB. The lesson plans were well-structured, clearly outlining learning objectives that aligned with the competency-based education model. The integration of local Ankara context into the science curriculum was noted as a strength, making abstract concepts more relatable to students. However, the differentiation strategies for students with varying proficiency levels could be more explicitly documented in the planning phase.</w:t>
      </w:r>
    </w:p>
    <w:bookmarkEnd w:id="23"/>
    <w:bookmarkStart w:id="24" w:name="instructional-delivery-and-pedagogy"/>
    <w:p>
      <w:pPr>
        <w:pStyle w:val="Heading3"/>
      </w:pPr>
      <w:r>
        <w:t xml:space="preserve">3.2. Instructional Delivery and Pedagogy</w:t>
      </w:r>
    </w:p>
    <w:p>
      <w:pPr>
        <w:pStyle w:val="FirstParagraph"/>
      </w:pPr>
      <w:r>
        <w:t xml:space="preserve">During the observation, the teacher employed a variety of instructional strategies, including direct instruction, group work, and inquiry-based learning. The pacing of the lesson was appropriate for the secondary level, allowing sufficient time for student processing. The teacher's command of the subject matter was evident, and explanations were clear and concise. The use of Turkish educational terminology was accurate, ensuring clarity for all students.</w:t>
      </w:r>
    </w:p>
    <w:bookmarkEnd w:id="24"/>
    <w:bookmarkStart w:id="25" w:name="classroom-management-and-environment"/>
    <w:p>
      <w:pPr>
        <w:pStyle w:val="Heading3"/>
      </w:pPr>
      <w:r>
        <w:t xml:space="preserve">3.3. Classroom Management and Environment</w:t>
      </w:r>
    </w:p>
    <w:p>
      <w:pPr>
        <w:pStyle w:val="FirstParagraph"/>
      </w:pPr>
      <w:r>
        <w:t xml:space="preserve">The classroom environment in this Ankara secondary school was orderly and conducive to learning. The teacher established clear expectations for behavior and academic engagement. Student-teacher interactions were respectful and professional, reflecting the cultural values of the region. The teacher effectively managed transitions between activities, minimizing downtime. There was a positive rapport between the teacher and the students, which facilitated a supportive learning atmosphere.</w:t>
      </w:r>
    </w:p>
    <w:bookmarkEnd w:id="25"/>
    <w:bookmarkStart w:id="26" w:name="assessment-and-feedback"/>
    <w:p>
      <w:pPr>
        <w:pStyle w:val="Heading3"/>
      </w:pPr>
      <w:r>
        <w:t xml:space="preserve">3.4. Assessment and Feedback</w:t>
      </w:r>
    </w:p>
    <w:p>
      <w:pPr>
        <w:pStyle w:val="FirstParagraph"/>
      </w:pPr>
      <w:r>
        <w:t xml:space="preserve">Formative assessment techniques were used effectively throughout the lesson to check for understanding. The teacher provided timely and constructive feedback to students, encouraging them to reflect on their learning. The alignment between the learning objectives and the assessment methods was strong. However, there is an opportunity to incorporate more diverse assessment tools, such as digital portfolios, to better track student progress over time.</w:t>
      </w:r>
    </w:p>
    <w:bookmarkEnd w:id="26"/>
    <w:bookmarkEnd w:id="27"/>
    <w:bookmarkStart w:id="28" w:name="rating-summary"/>
    <w:p>
      <w:pPr>
        <w:pStyle w:val="Heading2"/>
      </w:pPr>
      <w:r>
        <w:t xml:space="preserve">4. Rating Summary</w:t>
      </w:r>
    </w:p>
    <w:p>
      <w:pPr>
        <w:pStyle w:val="FirstParagraph"/>
      </w:pPr>
      <w:r>
        <w:rPr>
          <w:bCs/>
          <w:b/>
        </w:rPr>
        <w:t xml:space="preserve">Rating Scale:</w:t>
      </w:r>
      <w:r>
        <w:t xml:space="preserve"> </w:t>
      </w:r>
      <w:r>
        <w:t xml:space="preserve">1 (Needs Improvement) | 2 (Developing) | 3 (Proficient) | 4 (Distinguished)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w:t>
            </w:r>
          </w:p>
        </w:tc>
        <w:tc>
          <w:tcPr/>
          <w:p>
            <w:pPr>
              <w:pStyle w:val="Compact"/>
              <w:jc w:val="left"/>
            </w:pPr>
            <w:r>
              <w:t xml:space="preserve">Comments</w:t>
            </w:r>
          </w:p>
        </w:tc>
      </w:tr>
      <w:tr>
        <w:tc>
          <w:tcPr/>
          <w:p>
            <w:pPr>
              <w:pStyle w:val="Compact"/>
              <w:jc w:val="left"/>
            </w:pPr>
            <w:r>
              <w:t xml:space="preserve">Lesson Planning</w:t>
            </w:r>
          </w:p>
        </w:tc>
        <w:tc>
          <w:tcPr/>
          <w:p>
            <w:pPr>
              <w:pStyle w:val="Compact"/>
              <w:jc w:val="left"/>
            </w:pPr>
            <w:r>
              <w:t xml:space="preserve">3</w:t>
            </w:r>
          </w:p>
        </w:tc>
        <w:tc>
          <w:tcPr/>
          <w:p>
            <w:pPr>
              <w:pStyle w:val="Compact"/>
              <w:jc w:val="left"/>
            </w:pPr>
            <w:r>
              <w:t xml:space="preserve">Strong alignment with MEB curriculum; needs more differentiation.</w:t>
            </w:r>
          </w:p>
        </w:tc>
      </w:tr>
      <w:tr>
        <w:tc>
          <w:tcPr/>
          <w:p>
            <w:pPr>
              <w:pStyle w:val="Compact"/>
              <w:jc w:val="left"/>
            </w:pPr>
            <w:r>
              <w:t xml:space="preserve">Instructional Delivery</w:t>
            </w:r>
          </w:p>
        </w:tc>
        <w:tc>
          <w:tcPr/>
          <w:p>
            <w:pPr>
              <w:pStyle w:val="Compact"/>
              <w:jc w:val="left"/>
            </w:pPr>
            <w:r>
              <w:t xml:space="preserve">4</w:t>
            </w:r>
          </w:p>
        </w:tc>
        <w:tc>
          <w:tcPr/>
          <w:p>
            <w:pPr>
              <w:pStyle w:val="Compact"/>
              <w:jc w:val="left"/>
            </w:pPr>
            <w:r>
              <w:t xml:space="preserve">Excellent subject knowledge and engaging pedagogy.</w:t>
            </w:r>
          </w:p>
        </w:tc>
      </w:tr>
      <w:tr>
        <w:tc>
          <w:tcPr/>
          <w:p>
            <w:pPr>
              <w:pStyle w:val="Compact"/>
              <w:jc w:val="left"/>
            </w:pPr>
            <w:r>
              <w:t xml:space="preserve">Classroom Management</w:t>
            </w:r>
          </w:p>
        </w:tc>
        <w:tc>
          <w:tcPr/>
          <w:p>
            <w:pPr>
              <w:pStyle w:val="Compact"/>
              <w:jc w:val="left"/>
            </w:pPr>
            <w:r>
              <w:t xml:space="preserve">4</w:t>
            </w:r>
          </w:p>
        </w:tc>
        <w:tc>
          <w:tcPr/>
          <w:p>
            <w:pPr>
              <w:pStyle w:val="Compact"/>
              <w:jc w:val="left"/>
            </w:pPr>
            <w:r>
              <w:t xml:space="preserve">Positive environment; effective behavior management.</w:t>
            </w:r>
          </w:p>
        </w:tc>
      </w:tr>
      <w:tr>
        <w:tc>
          <w:tcPr/>
          <w:p>
            <w:pPr>
              <w:pStyle w:val="Compact"/>
              <w:jc w:val="left"/>
            </w:pPr>
            <w:r>
              <w:t xml:space="preserve">Assessment &amp; Feedback</w:t>
            </w:r>
          </w:p>
        </w:tc>
        <w:tc>
          <w:tcPr/>
          <w:p>
            <w:pPr>
              <w:pStyle w:val="Compact"/>
              <w:jc w:val="left"/>
            </w:pPr>
            <w:r>
              <w:t xml:space="preserve">3</w:t>
            </w:r>
          </w:p>
        </w:tc>
        <w:tc>
          <w:tcPr/>
          <w:p>
            <w:pPr>
              <w:pStyle w:val="Compact"/>
              <w:jc w:val="left"/>
            </w:pPr>
            <w:r>
              <w:t xml:space="preserve">Effective formative assessment; could diversify tools.</w:t>
            </w:r>
          </w:p>
        </w:tc>
      </w:tr>
      <w:tr>
        <w:tc>
          <w:tcPr/>
          <w:p>
            <w:pPr>
              <w:pStyle w:val="Compact"/>
              <w:jc w:val="left"/>
            </w:pPr>
            <w:r>
              <w:t xml:space="preserve">Professionalism</w:t>
            </w:r>
          </w:p>
        </w:tc>
        <w:tc>
          <w:tcPr/>
          <w:p>
            <w:pPr>
              <w:pStyle w:val="Compact"/>
              <w:jc w:val="left"/>
            </w:pPr>
            <w:r>
              <w:t xml:space="preserve">4</w:t>
            </w:r>
          </w:p>
        </w:tc>
        <w:tc>
          <w:tcPr/>
          <w:p>
            <w:pPr>
              <w:pStyle w:val="Compact"/>
              <w:jc w:val="left"/>
            </w:pPr>
            <w:r>
              <w:t xml:space="preserve">Highly professional; collaborative with colleagues.</w:t>
            </w:r>
          </w:p>
        </w:tc>
      </w:tr>
    </w:tbl>
    <w:bookmarkEnd w:id="28"/>
    <w:bookmarkStart w:id="29" w:name="X2505c1a0023529382629b60d8e35fc2b9eaee81"/>
    <w:p>
      <w:pPr>
        <w:pStyle w:val="Heading2"/>
      </w:pPr>
      <w:r>
        <w:t xml:space="preserve">5. Recommendations for Professional Development</w:t>
      </w:r>
    </w:p>
    <w:p>
      <w:pPr>
        <w:pStyle w:val="FirstParagraph"/>
      </w:pPr>
      <w:r>
        <w:t xml:space="preserve">Based on the findings of this Peer Review Report, the following recommendations are made to support the continued growth of the Teacher Secondary:</w:t>
      </w:r>
    </w:p>
    <w:p>
      <w:pPr>
        <w:numPr>
          <w:ilvl w:val="0"/>
          <w:numId w:val="1002"/>
        </w:numPr>
        <w:pStyle w:val="Compact"/>
      </w:pPr>
      <w:r>
        <w:rPr>
          <w:bCs/>
          <w:b/>
        </w:rPr>
        <w:t xml:space="preserve">Differentiated Instruction:</w:t>
      </w:r>
      <w:r>
        <w:t xml:space="preserve"> </w:t>
      </w:r>
      <w:r>
        <w:t xml:space="preserve">Attend workshops on differentiated instruction strategies to better support diverse learner needs within the classroom.</w:t>
      </w:r>
    </w:p>
    <w:p>
      <w:pPr>
        <w:numPr>
          <w:ilvl w:val="0"/>
          <w:numId w:val="1002"/>
        </w:numPr>
        <w:pStyle w:val="Compact"/>
      </w:pPr>
      <w:r>
        <w:rPr>
          <w:bCs/>
          <w:b/>
        </w:rPr>
        <w:t xml:space="preserve">Technology Integration:</w:t>
      </w:r>
      <w:r>
        <w:t xml:space="preserve"> </w:t>
      </w:r>
      <w:r>
        <w:t xml:space="preserve">Explore advanced digital tools and platforms approved by the MEB to enhance student engagement and assessment.</w:t>
      </w:r>
    </w:p>
    <w:p>
      <w:pPr>
        <w:numPr>
          <w:ilvl w:val="0"/>
          <w:numId w:val="1002"/>
        </w:numPr>
        <w:pStyle w:val="Compact"/>
      </w:pPr>
      <w:r>
        <w:rPr>
          <w:bCs/>
          <w:b/>
        </w:rPr>
        <w:t xml:space="preserve">Peer Collaboration:</w:t>
      </w:r>
      <w:r>
        <w:t xml:space="preserve"> </w:t>
      </w:r>
      <w:r>
        <w:t xml:space="preserve">Engage in regular peer observation cycles with colleagues in other Ankara schools to share best practices and innovative teaching methods.</w:t>
      </w:r>
    </w:p>
    <w:p>
      <w:pPr>
        <w:numPr>
          <w:ilvl w:val="0"/>
          <w:numId w:val="1002"/>
        </w:numPr>
        <w:pStyle w:val="Compact"/>
      </w:pPr>
      <w:r>
        <w:rPr>
          <w:bCs/>
          <w:b/>
        </w:rPr>
        <w:t xml:space="preserve">Reflective Practice:</w:t>
      </w:r>
      <w:r>
        <w:t xml:space="preserve"> </w:t>
      </w:r>
      <w:r>
        <w:t xml:space="preserve">Maintain a reflective journal to document teaching experiences and identify areas for ongoing improvement.</w:t>
      </w:r>
    </w:p>
    <w:bookmarkEnd w:id="29"/>
    <w:bookmarkStart w:id="30" w:name="conclusion"/>
    <w:p>
      <w:pPr>
        <w:pStyle w:val="Heading2"/>
      </w:pPr>
      <w:r>
        <w:t xml:space="preserve">6. Conclusion</w:t>
      </w:r>
    </w:p>
    <w:p>
      <w:pPr>
        <w:pStyle w:val="FirstParagraph"/>
      </w:pPr>
      <w:r>
        <w:t xml:space="preserve">This Peer Review Report confirms that the Teacher Secondary is performing at a proficient to distinguished level. The educator demonstrates a strong commitment to the educational standards of Turkey and contributes positively to the academic community in Ankara. By addressing the recommended areas for development, the teacher will further enhance their instructional practice and better serve the needs of their students. This report serves as a foundational document for the teacher's professional development plan for the remainder of the academic year.</w:t>
      </w:r>
    </w:p>
    <w:bookmarkEnd w:id="30"/>
    <w:p>
      <w:pPr>
        <w:pStyle w:val="BodyText"/>
      </w:pPr>
      <w:r>
        <w:rPr>
          <w:bCs/>
          <w:b/>
        </w:rPr>
        <w:t xml:space="preserve">Reviewed By:</w:t>
      </w:r>
    </w:p>
    <w:p>
      <w:pPr>
        <w:pStyle w:val="BodyText"/>
      </w:pPr>
      <w:r>
        <w:t xml:space="preserve">Dr. Ahmet Yılmaz</w:t>
      </w:r>
    </w:p>
    <w:p>
      <w:pPr>
        <w:pStyle w:val="BodyText"/>
      </w:pPr>
      <w:r>
        <w:t xml:space="preserve">Senior Peer Reviewer</w:t>
      </w:r>
    </w:p>
    <w:p>
      <w:pPr>
        <w:pStyle w:val="BodyText"/>
      </w:pPr>
      <w:r>
        <w:t xml:space="preserve">Ankara Education Directorate</w:t>
      </w:r>
    </w:p>
    <w:p>
      <w:pPr>
        <w:pStyle w:val="BodyText"/>
      </w:pPr>
      <w:r>
        <w:rPr>
          <w:bCs/>
          <w:b/>
        </w:rPr>
        <w:t xml:space="preserve">Reviewed Teacher:</w:t>
      </w:r>
    </w:p>
    <w:p>
      <w:pPr>
        <w:pStyle w:val="BodyText"/>
      </w:pPr>
      <w:r>
        <w:t xml:space="preserve">Elif Demir</w:t>
      </w:r>
    </w:p>
    <w:p>
      <w:pPr>
        <w:pStyle w:val="BodyText"/>
      </w:pPr>
      <w:r>
        <w:t xml:space="preserve">Secondary Science Teacher</w:t>
      </w:r>
    </w:p>
    <w:p>
      <w:pPr>
        <w:pStyle w:val="BodyText"/>
      </w:pPr>
      <w:r>
        <w:t xml:space="preserve">Çankaya Anatolian High School</w:t>
      </w:r>
    </w:p>
    <w:p>
      <w:pPr>
        <w:pStyle w:val="BodyText"/>
      </w:pPr>
      <w:r>
        <w:t xml:space="preserve">© 2024 Ministry of National Education - Ankara Regional Directorate. All rights reserved.</w:t>
      </w:r>
    </w:p>
    <w:p>
      <w:pPr>
        <w:pStyle w:val="BodyText"/>
      </w:pPr>
      <w:r>
        <w:t xml:space="preserve">This document is confidential and intended for internal professional development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Teacher - Ankara, Turkey</dc:title>
  <dc:creator/>
  <dc:language>en</dc:language>
  <cp:keywords/>
  <dcterms:created xsi:type="dcterms:W3CDTF">2026-10-10T04:05:19Z</dcterms:created>
  <dcterms:modified xsi:type="dcterms:W3CDTF">2026-10-10T04:05:19Z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