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Context:</w:t>
      </w:r>
      <w:r>
        <w:t xml:space="preserve"> </w:t>
      </w:r>
      <w:r>
        <w:t xml:space="preserve">Secondary Education Sector</w:t>
      </w:r>
    </w:p>
    <w:p>
      <w:pPr>
        <w:pStyle w:val="BodyText"/>
      </w:pPr>
      <w:r>
        <w:rPr>
          <w:bCs/>
          <w:b/>
        </w:rPr>
        <w:t xml:space="preserve">Location:</w:t>
      </w:r>
      <w:r>
        <w:t xml:space="preserve"> </w:t>
      </w:r>
      <w:r>
        <w:t xml:space="preserve">Turkey Istanbul</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pedagogical strategies, and classroom management of a Teacher Secondary within the vibrant and demanding educational landscape of Turkey Istanbul. The review process is conducted in accordance with the Ministry of National Education (MEB) guidelines and the specific institutional standards of the school located in Istanbul.</w:t>
      </w:r>
    </w:p>
    <w:p>
      <w:pPr>
        <w:pStyle w:val="BodyText"/>
      </w:pPr>
      <w:r>
        <w:t xml:space="preserve">The educational environment in Istanbul is characterized by high academic expectations, cultural diversity, and a dynamic student population. As such, the role of a Teacher Secondary is pivotal in shaping the academic and social development of adolescents. This report aims to provide a constructive, evidence-based analysis of the teacher's practice, highlighting strengths and identifying areas for professional growth to ensure alignment with national curriculum standards and local educational goals.</w:t>
      </w:r>
    </w:p>
    <w:bookmarkEnd w:id="21"/>
    <w:bookmarkStart w:id="22" w:name="reviewer-information"/>
    <w:p>
      <w:pPr>
        <w:pStyle w:val="Heading2"/>
      </w:pPr>
      <w:r>
        <w:t xml:space="preserve">2. Reviewer Information</w:t>
      </w:r>
    </w:p>
    <w:p>
      <w:pPr>
        <w:pStyle w:val="FirstParagraph"/>
      </w:pPr>
      <w:r>
        <w:rPr>
          <w:bCs/>
          <w:b/>
        </w:rPr>
        <w:t xml:space="preserve">Reviewer Name:</w:t>
      </w:r>
      <w:r>
        <w:t xml:space="preserve"> </w:t>
      </w:r>
      <w:r>
        <w:t xml:space="preserve">[Name of Peer Reviewer]</w:t>
      </w:r>
      <w:r>
        <w:br/>
      </w:r>
      <w:r>
        <w:rPr>
          <w:bCs/>
          <w:b/>
        </w:rPr>
        <w:t xml:space="preserve">Position:</w:t>
      </w:r>
      <w:r>
        <w:t xml:space="preserve"> </w:t>
      </w:r>
      <w:r>
        <w:t xml:space="preserve">Senior Teacher / Department Head</w:t>
      </w:r>
      <w:r>
        <w:br/>
      </w:r>
      <w:r>
        <w:rPr>
          <w:bCs/>
          <w:b/>
        </w:rPr>
        <w:t xml:space="preserve">School:</w:t>
      </w:r>
      <w:r>
        <w:t xml:space="preserve"> </w:t>
      </w:r>
      <w:r>
        <w:t xml:space="preserve">[Name of Secondary School], Istanbul</w:t>
      </w:r>
      <w:r>
        <w:br/>
      </w:r>
      <w:r>
        <w:rPr>
          <w:bCs/>
          <w:b/>
        </w:rPr>
        <w:t xml:space="preserve">Subject Area:</w:t>
      </w:r>
      <w:r>
        <w:t xml:space="preserve"> </w:t>
      </w:r>
      <w:r>
        <w:t xml:space="preserve">[Subject]</w:t>
      </w:r>
    </w:p>
    <w:bookmarkEnd w:id="22"/>
    <w:bookmarkStart w:id="23" w:name="teacher-profile"/>
    <w:p>
      <w:pPr>
        <w:pStyle w:val="Heading2"/>
      </w:pPr>
      <w:r>
        <w:t xml:space="preserve">3. Teacher Profile</w:t>
      </w:r>
    </w:p>
    <w:p>
      <w:pPr>
        <w:pStyle w:val="FirstParagraph"/>
      </w:pPr>
      <w:r>
        <w:rPr>
          <w:bCs/>
          <w:b/>
        </w:rPr>
        <w:t xml:space="preserve">Name:</w:t>
      </w:r>
      <w:r>
        <w:t xml:space="preserve"> </w:t>
      </w:r>
      <w:r>
        <w:t xml:space="preserve">[Name of Teacher Secondary]</w:t>
      </w:r>
      <w:r>
        <w:br/>
      </w:r>
      <w:r>
        <w:rPr>
          <w:bCs/>
          <w:b/>
        </w:rPr>
        <w:t xml:space="preserve">Subject:</w:t>
      </w:r>
      <w:r>
        <w:t xml:space="preserve"> </w:t>
      </w:r>
      <w:r>
        <w:t xml:space="preserve">[Subject]</w:t>
      </w:r>
      <w:r>
        <w:br/>
      </w:r>
      <w:r>
        <w:rPr>
          <w:bCs/>
          <w:b/>
        </w:rPr>
        <w:t xml:space="preserve">Grade Level:</w:t>
      </w:r>
      <w:r>
        <w:t xml:space="preserve"> </w:t>
      </w:r>
      <w:r>
        <w:t xml:space="preserve">Secondary (Grades 5-8)</w:t>
      </w:r>
      <w:r>
        <w:br/>
      </w:r>
      <w:r>
        <w:rPr>
          <w:bCs/>
          <w:b/>
        </w:rPr>
        <w:t xml:space="preserve">Years of Experience:</w:t>
      </w:r>
      <w:r>
        <w:t xml:space="preserve"> </w:t>
      </w:r>
      <w:r>
        <w:t xml:space="preserve">[Number] Years</w:t>
      </w:r>
    </w:p>
    <w:bookmarkEnd w:id="23"/>
    <w:bookmarkStart w:id="24" w:name="classroom-observation-summary"/>
    <w:p>
      <w:pPr>
        <w:pStyle w:val="Heading2"/>
      </w:pPr>
      <w:r>
        <w:t xml:space="preserve">4. Classroom Observation Summary</w:t>
      </w:r>
    </w:p>
    <w:p>
      <w:pPr>
        <w:pStyle w:val="FirstParagraph"/>
      </w:pPr>
      <w:r>
        <w:t xml:space="preserve">The observation took place on [Date] in a Grade [Number] class. The lesson focused on [Topic], which is a core component of the Turkish national curriculum for secondary education. The classroom setting reflected the typical urban Istanbul school environment, with a diverse group of students exhibiting varying levels of proficiency and engagement.</w:t>
      </w:r>
    </w:p>
    <w:p>
      <w:pPr>
        <w:pStyle w:val="BodyText"/>
      </w:pPr>
      <w:r>
        <w:t xml:space="preserve">The Teacher Secondary demonstrated a clear understanding of the lesson objectives. The introduction of the topic was engaging, utilizing multimedia resources that are increasingly common in Istanbul's modernized classrooms. The teacher effectively managed the transition from direct instruction to student-centered activities, encouraging collaborative learning among peers.</w:t>
      </w:r>
    </w:p>
    <w:bookmarkEnd w:id="24"/>
    <w:bookmarkStart w:id="30" w:name="evaluation-criteria-and-findings"/>
    <w:p>
      <w:pPr>
        <w:pStyle w:val="Heading2"/>
      </w:pPr>
      <w:r>
        <w:t xml:space="preserve">5. Evaluation Criteria and Findings</w:t>
      </w:r>
    </w:p>
    <w:bookmarkStart w:id="25" w:name="lesson-planning-and-preparation"/>
    <w:p>
      <w:pPr>
        <w:pStyle w:val="Heading3"/>
      </w:pPr>
      <w:r>
        <w:t xml:space="preserve">5.1. Lesson Planning and Preparation</w:t>
      </w:r>
    </w:p>
    <w:p>
      <w:pPr>
        <w:pStyle w:val="FirstParagraph"/>
      </w:pPr>
      <w:r>
        <w:t xml:space="preserve">The lesson plan was well-structured and aligned with the MEB curriculum standards. The Teacher Secondary showed evidence of thorough preparation, including differentiated materials to cater to students with different learning needs. The integration of local context, such as references to Istanbul's history or culture where relevant, added depth to the lesson and increased student relevance.</w:t>
      </w:r>
    </w:p>
    <w:bookmarkEnd w:id="25"/>
    <w:bookmarkStart w:id="26" w:name="instructional-strategies"/>
    <w:p>
      <w:pPr>
        <w:pStyle w:val="Heading3"/>
      </w:pPr>
      <w:r>
        <w:t xml:space="preserve">5.2. Instructional Strategies</w:t>
      </w:r>
    </w:p>
    <w:p>
      <w:pPr>
        <w:pStyle w:val="FirstParagraph"/>
      </w:pPr>
      <w:r>
        <w:t xml:space="preserve">A variety of instructional strategies were employed, including questioning techniques, group work, and visual aids. The teacher successfully facilitated critical thinking by posing open-ended questions that required students to analyze and synthesize information. The use of technology was appropriate and enhanced the learning experience without overshadowing the core content.</w:t>
      </w:r>
    </w:p>
    <w:bookmarkEnd w:id="26"/>
    <w:bookmarkStart w:id="27" w:name="classroom-management"/>
    <w:p>
      <w:pPr>
        <w:pStyle w:val="Heading3"/>
      </w:pPr>
      <w:r>
        <w:t xml:space="preserve">5.3. Classroom Management</w:t>
      </w:r>
    </w:p>
    <w:p>
      <w:pPr>
        <w:pStyle w:val="FirstParagraph"/>
      </w:pPr>
      <w:r>
        <w:t xml:space="preserve">Classroom management was effective, with clear expectations established and consistently enforced. The Teacher Secondary maintained a positive and respectful atmosphere, which is crucial in the diverse social fabric of Istanbul. Student behavior was generally well-regulated, and the teacher addressed minor disruptions promptly and discreetly, minimizing loss of instructional time.</w:t>
      </w:r>
    </w:p>
    <w:bookmarkEnd w:id="27"/>
    <w:bookmarkStart w:id="28" w:name="student-engagement-and-interaction"/>
    <w:p>
      <w:pPr>
        <w:pStyle w:val="Heading3"/>
      </w:pPr>
      <w:r>
        <w:t xml:space="preserve">5.4. Student Engagement and Interaction</w:t>
      </w:r>
    </w:p>
    <w:p>
      <w:pPr>
        <w:pStyle w:val="FirstParagraph"/>
      </w:pPr>
      <w:r>
        <w:t xml:space="preserve">Student engagement was high throughout the lesson. The teacher encouraged active participation from all students, including those who are typically quieter. Peer interactions were constructive, and the teacher provided timely feedback to guide student learning. The inclusive approach ensured that students from various backgrounds felt valued and involved.</w:t>
      </w:r>
    </w:p>
    <w:bookmarkEnd w:id="28"/>
    <w:bookmarkStart w:id="29" w:name="assessment-and-feedback"/>
    <w:p>
      <w:pPr>
        <w:pStyle w:val="Heading3"/>
      </w:pPr>
      <w:r>
        <w:t xml:space="preserve">5.5. Assessment and Feedback</w:t>
      </w:r>
    </w:p>
    <w:p>
      <w:pPr>
        <w:pStyle w:val="FirstParagraph"/>
      </w:pPr>
      <w:r>
        <w:t xml:space="preserve">Formative assessment techniques were used effectively to monitor student understanding during the lesson. The Teacher Secondary provided specific, actionable feedback that helped students identify areas for improvement. The alignment between the lesson objectives and the assessment methods was clear, ensuring that students were evaluated fairly and accurately.</w:t>
      </w:r>
    </w:p>
    <w:bookmarkEnd w:id="29"/>
    <w:bookmarkEnd w:id="30"/>
    <w:bookmarkStart w:id="31" w:name="strengths"/>
    <w:p>
      <w:pPr>
        <w:pStyle w:val="Heading2"/>
      </w:pPr>
      <w:r>
        <w:t xml:space="preserve">6. Strengths</w:t>
      </w:r>
    </w:p>
    <w:p>
      <w:pPr>
        <w:numPr>
          <w:ilvl w:val="0"/>
          <w:numId w:val="1001"/>
        </w:numPr>
        <w:pStyle w:val="Compact"/>
      </w:pPr>
      <w:r>
        <w:t xml:space="preserve">Strong subject matter knowledge and ability to explain complex concepts clearly.</w:t>
      </w:r>
    </w:p>
    <w:p>
      <w:pPr>
        <w:numPr>
          <w:ilvl w:val="0"/>
          <w:numId w:val="1001"/>
        </w:numPr>
        <w:pStyle w:val="Compact"/>
      </w:pPr>
      <w:r>
        <w:t xml:space="preserve">Effective use of technology and multimedia resources to enhance learning.</w:t>
      </w:r>
    </w:p>
    <w:p>
      <w:pPr>
        <w:numPr>
          <w:ilvl w:val="0"/>
          <w:numId w:val="1001"/>
        </w:numPr>
        <w:pStyle w:val="Compact"/>
      </w:pPr>
      <w:r>
        <w:t xml:space="preserve">Positive classroom climate that fosters respect and inclusivity.</w:t>
      </w:r>
    </w:p>
    <w:p>
      <w:pPr>
        <w:numPr>
          <w:ilvl w:val="0"/>
          <w:numId w:val="1001"/>
        </w:numPr>
        <w:pStyle w:val="Compact"/>
      </w:pPr>
      <w:r>
        <w:t xml:space="preserve">Well-organized lesson plans that align with national curriculum standards.</w:t>
      </w:r>
    </w:p>
    <w:p>
      <w:pPr>
        <w:numPr>
          <w:ilvl w:val="0"/>
          <w:numId w:val="1001"/>
        </w:numPr>
        <w:pStyle w:val="Compact"/>
      </w:pPr>
      <w:r>
        <w:t xml:space="preserve">Ability to engage students through interactive and collaborative activities.</w:t>
      </w:r>
    </w:p>
    <w:bookmarkEnd w:id="31"/>
    <w:bookmarkStart w:id="32" w:name="areas-for-improvement"/>
    <w:p>
      <w:pPr>
        <w:pStyle w:val="Heading2"/>
      </w:pPr>
      <w:r>
        <w:t xml:space="preserve">7. Areas for Improvement</w:t>
      </w:r>
    </w:p>
    <w:p>
      <w:pPr>
        <w:numPr>
          <w:ilvl w:val="0"/>
          <w:numId w:val="1002"/>
        </w:numPr>
        <w:pStyle w:val="Compact"/>
      </w:pPr>
      <w:r>
        <w:t xml:space="preserve">Increase the use of formative assessment strategies to provide more frequent feedback.</w:t>
      </w:r>
    </w:p>
    <w:p>
      <w:pPr>
        <w:numPr>
          <w:ilvl w:val="0"/>
          <w:numId w:val="1002"/>
        </w:numPr>
        <w:pStyle w:val="Compact"/>
      </w:pPr>
      <w:r>
        <w:t xml:space="preserve">Further differentiate instruction to better support students with diverse learning needs.</w:t>
      </w:r>
    </w:p>
    <w:p>
      <w:pPr>
        <w:numPr>
          <w:ilvl w:val="0"/>
          <w:numId w:val="1002"/>
        </w:numPr>
        <w:pStyle w:val="Compact"/>
      </w:pPr>
      <w:r>
        <w:t xml:space="preserve">Encourage more student-led discussions to promote deeper critical thinking.</w:t>
      </w:r>
    </w:p>
    <w:p>
      <w:pPr>
        <w:numPr>
          <w:ilvl w:val="0"/>
          <w:numId w:val="1002"/>
        </w:numPr>
        <w:pStyle w:val="Compact"/>
      </w:pPr>
      <w:r>
        <w:t xml:space="preserve">Integrate more real-world applications related to Istanbul and Turkey to enhance relevance.</w:t>
      </w:r>
    </w:p>
    <w:bookmarkEnd w:id="32"/>
    <w:bookmarkStart w:id="33" w:name="recommendations"/>
    <w:p>
      <w:pPr>
        <w:pStyle w:val="Heading2"/>
      </w:pPr>
      <w:r>
        <w:t xml:space="preserve">8. Recommendations</w:t>
      </w:r>
    </w:p>
    <w:p>
      <w:pPr>
        <w:pStyle w:val="FirstParagraph"/>
      </w:pPr>
      <w:r>
        <w:t xml:space="preserve">Based on the observations and findings, the following recommendations are made for the Teacher Secondary:</w:t>
      </w:r>
    </w:p>
    <w:p>
      <w:pPr>
        <w:numPr>
          <w:ilvl w:val="0"/>
          <w:numId w:val="1003"/>
        </w:numPr>
        <w:pStyle w:val="Compact"/>
      </w:pPr>
      <w:r>
        <w:t xml:space="preserve">Participate in professional development workshops focused on differentiated instruction and formative assessment.</w:t>
      </w:r>
    </w:p>
    <w:p>
      <w:pPr>
        <w:numPr>
          <w:ilvl w:val="0"/>
          <w:numId w:val="1003"/>
        </w:numPr>
        <w:pStyle w:val="Compact"/>
      </w:pPr>
      <w:r>
        <w:t xml:space="preserve">Collaborate with colleagues to share best practices and innovative teaching strategies.</w:t>
      </w:r>
    </w:p>
    <w:p>
      <w:pPr>
        <w:numPr>
          <w:ilvl w:val="0"/>
          <w:numId w:val="1003"/>
        </w:numPr>
        <w:pStyle w:val="Compact"/>
      </w:pPr>
      <w:r>
        <w:t xml:space="preserve">Reflect regularly on classroom practices and seek feedback from students and peers.</w:t>
      </w:r>
    </w:p>
    <w:p>
      <w:pPr>
        <w:numPr>
          <w:ilvl w:val="0"/>
          <w:numId w:val="1003"/>
        </w:numPr>
        <w:pStyle w:val="Compact"/>
      </w:pPr>
      <w:r>
        <w:t xml:space="preserve">Explore additional resources and technologies that can enhance student engagement and learning outcomes.</w:t>
      </w:r>
    </w:p>
    <w:bookmarkEnd w:id="33"/>
    <w:bookmarkStart w:id="34" w:name="conclusion"/>
    <w:p>
      <w:pPr>
        <w:pStyle w:val="Heading2"/>
      </w:pPr>
      <w:r>
        <w:t xml:space="preserve">9. Conclusion</w:t>
      </w:r>
    </w:p>
    <w:p>
      <w:pPr>
        <w:pStyle w:val="FirstParagraph"/>
      </w:pPr>
      <w:r>
        <w:t xml:space="preserve">This Peer Review Report highlights the commendable efforts of the Teacher Secondary in delivering high-quality education within the challenging and rewarding context of Turkey Istanbul. The teacher's dedication, professionalism, and commitment to student success are evident. By addressing the identified areas for improvement, the teacher can further enhance their practice and contribute even more effectively to the educational development of secondary students in Istanbul.</w:t>
      </w:r>
    </w:p>
    <w:bookmarkEnd w:id="34"/>
    <w:p>
      <w:pPr>
        <w:pStyle w:val="BodyText"/>
      </w:pPr>
      <w:r>
        <w:t xml:space="preserve">Reviewer Signature</w:t>
      </w:r>
    </w:p>
    <w:p>
      <w:pPr>
        <w:pStyle w:val="BodyText"/>
      </w:pPr>
      <w:r>
        <w:t xml:space="preserve">Teacher Secondary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Turkey Istanbul</dc:title>
  <dc:creator/>
  <dc:language>en</dc:language>
  <cp:keywords/>
  <dcterms:created xsi:type="dcterms:W3CDTF">2026-10-10T05:10:32Z</dcterms:created>
  <dcterms:modified xsi:type="dcterms:W3CDTF">2026-10-10T05:10:32Z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