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Teacher</w:t>
      </w:r>
      <w:r>
        <w:t xml:space="preserve"> </w:t>
      </w:r>
      <w:r>
        <w:t xml:space="preserve">Secondary</w:t>
      </w:r>
      <w:r>
        <w:t xml:space="preserve"> </w:t>
      </w:r>
      <w:r>
        <w:t xml:space="preserve">-</w:t>
      </w:r>
      <w:r>
        <w:t xml:space="preserve"> </w:t>
      </w:r>
      <w:r>
        <w:t xml:space="preserve">Uganda</w:t>
      </w:r>
      <w:r>
        <w:t xml:space="preserve"> </w:t>
      </w:r>
      <w:r>
        <w:t xml:space="preserve">Kampala</w:t>
      </w:r>
    </w:p>
    <w:bookmarkStart w:id="30" w:name="peer-review-report-teacher-secondary"/>
    <w:p>
      <w:pPr>
        <w:pStyle w:val="Heading1"/>
      </w:pPr>
      <w:r>
        <w:t xml:space="preserve">Peer Review Report: Teacher Secondary</w:t>
      </w:r>
    </w:p>
    <w:bookmarkStart w:id="20" w:name="general-information"/>
    <w:p>
      <w:pPr>
        <w:pStyle w:val="Heading2"/>
      </w:pPr>
      <w:r>
        <w:t xml:space="preserve">1. General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Teacher Name:</w:t>
            </w:r>
          </w:p>
        </w:tc>
        <w:tc>
          <w:tcPr/>
          <w:p>
            <w:pPr>
              <w:pStyle w:val="Compact"/>
              <w:jc w:val="left"/>
            </w:pPr>
            <w:r>
              <w:t xml:space="preserve">[Insert Teacher Name]</w:t>
            </w:r>
          </w:p>
        </w:tc>
      </w:tr>
      <w:tr>
        <w:tc>
          <w:tcPr/>
          <w:p>
            <w:pPr>
              <w:pStyle w:val="Compact"/>
              <w:jc w:val="left"/>
            </w:pPr>
            <w:r>
              <w:rPr>
                <w:bCs/>
                <w:b/>
              </w:rPr>
              <w:t xml:space="preserve">School Name:</w:t>
            </w:r>
          </w:p>
        </w:tc>
        <w:tc>
          <w:tcPr/>
          <w:p>
            <w:pPr>
              <w:pStyle w:val="Compact"/>
              <w:jc w:val="left"/>
            </w:pPr>
            <w:r>
              <w:t xml:space="preserve">[Insert School Name], Kampala, Uganda</w:t>
            </w:r>
          </w:p>
        </w:tc>
      </w:tr>
      <w:tr>
        <w:tc>
          <w:tcPr/>
          <w:p>
            <w:pPr>
              <w:pStyle w:val="Compact"/>
              <w:jc w:val="left"/>
            </w:pPr>
            <w:r>
              <w:rPr>
                <w:bCs/>
                <w:b/>
              </w:rPr>
              <w:t xml:space="preserve">Subject Taught:</w:t>
            </w:r>
          </w:p>
        </w:tc>
        <w:tc>
          <w:tcPr/>
          <w:p>
            <w:pPr>
              <w:pStyle w:val="Compact"/>
              <w:jc w:val="left"/>
            </w:pPr>
            <w:r>
              <w:t xml:space="preserve">[Insert Subject, e.g., Mathematics, Physics, Literature]</w:t>
            </w:r>
          </w:p>
        </w:tc>
      </w:tr>
      <w:tr>
        <w:tc>
          <w:tcPr/>
          <w:p>
            <w:pPr>
              <w:pStyle w:val="Compact"/>
              <w:jc w:val="left"/>
            </w:pPr>
            <w:r>
              <w:rPr>
                <w:bCs/>
                <w:b/>
              </w:rPr>
              <w:t xml:space="preserve">Grade Level:</w:t>
            </w:r>
          </w:p>
        </w:tc>
        <w:tc>
          <w:tcPr/>
          <w:p>
            <w:pPr>
              <w:pStyle w:val="Compact"/>
              <w:jc w:val="left"/>
            </w:pPr>
            <w:r>
              <w:t xml:space="preserve">Senior One to Senior Six (Secondary)</w:t>
            </w:r>
          </w:p>
        </w:tc>
      </w:tr>
      <w:tr>
        <w:tc>
          <w:tcPr/>
          <w:p>
            <w:pPr>
              <w:pStyle w:val="Compact"/>
              <w:jc w:val="left"/>
            </w:pPr>
            <w:r>
              <w:rPr>
                <w:bCs/>
                <w:b/>
              </w:rPr>
              <w:t xml:space="preserve">Date of Observation:</w:t>
            </w:r>
          </w:p>
        </w:tc>
        <w:tc>
          <w:tcPr/>
          <w:p>
            <w:pPr>
              <w:pStyle w:val="Compact"/>
              <w:jc w:val="left"/>
            </w:pPr>
            <w:r>
              <w:t xml:space="preserve">[Insert Date]</w:t>
            </w:r>
          </w:p>
        </w:tc>
      </w:tr>
      <w:tr>
        <w:tc>
          <w:tcPr/>
          <w:p>
            <w:pPr>
              <w:pStyle w:val="Compact"/>
              <w:jc w:val="left"/>
            </w:pPr>
            <w:r>
              <w:rPr>
                <w:bCs/>
                <w:b/>
              </w:rPr>
              <w:t xml:space="preserve">Reviewer Name:</w:t>
            </w:r>
          </w:p>
        </w:tc>
        <w:tc>
          <w:tcPr/>
          <w:p>
            <w:pPr>
              <w:pStyle w:val="Compact"/>
              <w:jc w:val="left"/>
            </w:pPr>
            <w:r>
              <w:t xml:space="preserve">[Insert Reviewer Name]</w:t>
            </w:r>
          </w:p>
        </w:tc>
      </w:tr>
      <w:tr>
        <w:tc>
          <w:tcPr/>
          <w:p>
            <w:pPr>
              <w:pStyle w:val="Compact"/>
              <w:jc w:val="left"/>
            </w:pPr>
            <w:r>
              <w:rPr>
                <w:bCs/>
                <w:b/>
              </w:rPr>
              <w:t xml:space="preserve">Reviewer Role:</w:t>
            </w:r>
          </w:p>
        </w:tc>
        <w:tc>
          <w:tcPr/>
          <w:p>
            <w:pPr>
              <w:pStyle w:val="Compact"/>
              <w:jc w:val="left"/>
            </w:pPr>
            <w:r>
              <w:t xml:space="preserve">Peer Reviewer / Senior Teacher</w:t>
            </w:r>
          </w:p>
        </w:tc>
      </w:tr>
    </w:tbl>
    <w:bookmarkEnd w:id="20"/>
    <w:bookmarkStart w:id="21" w:name="introduction-and-context"/>
    <w:p>
      <w:pPr>
        <w:pStyle w:val="Heading2"/>
      </w:pPr>
      <w:r>
        <w:t xml:space="preserve">2. Introduction and Context</w:t>
      </w:r>
    </w:p>
    <w:p>
      <w:pPr>
        <w:pStyle w:val="FirstParagraph"/>
      </w:pPr>
      <w:r>
        <w:t xml:space="preserve">This Peer Review Report is prepared in accordance with the professional development standards set by the Uganda National Teachers Council (UNTC) and the Ministry of Education and Sports. The review focuses on the instructional practices of a Teacher Secondary within the Kampala district. The primary objective of this review is to evaluate the teacher's adherence to the national curriculum, their ability to manage a diverse classroom environment typical of Kampala's urban schools, and their effectiveness in fostering student-centered learning.</w:t>
      </w:r>
    </w:p>
    <w:p>
      <w:pPr>
        <w:pStyle w:val="BodyText"/>
      </w:pPr>
      <w:r>
        <w:t xml:space="preserve">The observation took place during a standard lesson period. The context of this review considers the specific challenges and opportunities present in Kampala, including large class sizes, the integration of ICT in education, and the need to prepare students for the Uganda National Examinations Board (UNEB) assessments.</w:t>
      </w:r>
    </w:p>
    <w:bookmarkEnd w:id="21"/>
    <w:bookmarkStart w:id="22" w:name="lesson-planning-and-preparation"/>
    <w:p>
      <w:pPr>
        <w:pStyle w:val="Heading2"/>
      </w:pPr>
      <w:r>
        <w:t xml:space="preserve">3. Lesson Planning and Preparation</w:t>
      </w:r>
    </w:p>
    <w:p>
      <w:pPr>
        <w:pStyle w:val="FirstParagraph"/>
      </w:pPr>
      <w:r>
        <w:t xml:space="preserve">The Teacher Secondary demonstrated a high level of preparation. The lesson plan was aligned with the approved syllabus for the specific subject and grade level. The objectives were clearly stated, measurable, and appropriate for the cognitive level of secondary school students in Uganda.</w:t>
      </w:r>
    </w:p>
    <w:p>
      <w:pPr>
        <w:pStyle w:val="BodyText"/>
      </w:pPr>
      <w:r>
        <w:t xml:space="preserve">Materials required for the lesson, including textbooks, charts, and digital resources, were prepared in advance. The teacher showed an understanding of the learners' prior knowledge, which is crucial for scaffolding new concepts. The lesson structure followed a logical progression: introduction, development, practice, and conclusion.</w:t>
      </w:r>
    </w:p>
    <w:bookmarkEnd w:id="22"/>
    <w:bookmarkStart w:id="23" w:name="classroom-management-and-environment"/>
    <w:p>
      <w:pPr>
        <w:pStyle w:val="Heading2"/>
      </w:pPr>
      <w:r>
        <w:t xml:space="preserve">4. Classroom Management and Environment</w:t>
      </w:r>
    </w:p>
    <w:p>
      <w:pPr>
        <w:pStyle w:val="FirstParagraph"/>
      </w:pPr>
      <w:r>
        <w:t xml:space="preserve">Classroom management is a critical aspect of teaching in Kampala, where student populations can be dense. The Teacher Secondary maintained a disciplined yet supportive learning environment. Rules and expectations were clear, and the teacher enforced them consistently and fairly.</w:t>
      </w:r>
    </w:p>
    <w:p>
      <w:pPr>
        <w:pStyle w:val="BodyText"/>
      </w:pPr>
      <w:r>
        <w:t xml:space="preserve">The teacher effectively managed transitions between activities, minimizing downtime. Student behavior was generally positive, indicating a strong rapport between the teacher and the learners. The teacher utilized seating arrangements to maximize visibility and interaction, ensuring that all students, regardless of their position in the room, were engaged.</w:t>
      </w:r>
    </w:p>
    <w:bookmarkEnd w:id="23"/>
    <w:bookmarkStart w:id="24" w:name="instructional-delivery-and-pedagogy"/>
    <w:p>
      <w:pPr>
        <w:pStyle w:val="Heading2"/>
      </w:pPr>
      <w:r>
        <w:t xml:space="preserve">5. Instructional Delivery and Pedagogy</w:t>
      </w:r>
    </w:p>
    <w:p>
      <w:pPr>
        <w:pStyle w:val="FirstParagraph"/>
      </w:pPr>
      <w:r>
        <w:t xml:space="preserve">The instructional delivery was engaging and student-centered. The Teacher Secondary moved away from purely teacher-centered lecturing, incorporating group work, discussions, and problem-solving activities. This approach aligns with the competency-based curriculum reforms being implemented in Uganda.</w:t>
      </w:r>
    </w:p>
    <w:p>
      <w:pPr>
        <w:pStyle w:val="BodyText"/>
      </w:pPr>
      <w:r>
        <w:t xml:space="preserve">The teacher used clear and concise language, ensuring that complex concepts were broken down into understandable parts. Questions were used effectively to check for understanding and to stimulate critical thinking. The teacher encouraged students to ask questions and share their ideas, fostering an inclusive classroom culture.</w:t>
      </w:r>
    </w:p>
    <w:p>
      <w:pPr>
        <w:pStyle w:val="BodyText"/>
      </w:pPr>
      <w:r>
        <w:t xml:space="preserve">Differentiation was evident in the lesson. The teacher provided additional support to students who were struggling and offered extension activities for those who grasped the concepts quickly. This is particularly important in a diverse classroom setting like Kampala, where students may have varying levels of academic preparation.</w:t>
      </w:r>
    </w:p>
    <w:bookmarkEnd w:id="24"/>
    <w:bookmarkStart w:id="25" w:name="use-of-resources-and-ict"/>
    <w:p>
      <w:pPr>
        <w:pStyle w:val="Heading2"/>
      </w:pPr>
      <w:r>
        <w:t xml:space="preserve">6. Use of Resources and ICT</w:t>
      </w:r>
    </w:p>
    <w:p>
      <w:pPr>
        <w:pStyle w:val="FirstParagraph"/>
      </w:pPr>
      <w:r>
        <w:t xml:space="preserve">The Teacher Secondary made effective use of available resources. Local examples and contexts relevant to Kampala and Uganda were integrated into the lesson, making the content more relatable and meaningful for the students.</w:t>
      </w:r>
    </w:p>
    <w:p>
      <w:pPr>
        <w:pStyle w:val="BodyText"/>
      </w:pPr>
      <w:r>
        <w:t xml:space="preserve">Where available, ICT tools were utilized to enhance learning. The teacher demonstrated proficiency in using digital resources to present information and facilitate interactive learning. This aligns with the government's push for digital literacy in secondary education.</w:t>
      </w:r>
    </w:p>
    <w:bookmarkEnd w:id="25"/>
    <w:bookmarkStart w:id="26" w:name="assessment-and-feedback"/>
    <w:p>
      <w:pPr>
        <w:pStyle w:val="Heading2"/>
      </w:pPr>
      <w:r>
        <w:t xml:space="preserve">7. Assessment and Feedback</w:t>
      </w:r>
    </w:p>
    <w:p>
      <w:pPr>
        <w:pStyle w:val="FirstParagraph"/>
      </w:pPr>
      <w:r>
        <w:t xml:space="preserve">Formative assessment was integrated throughout the lesson. The teacher used questioning, observation, and short quizzes to monitor student progress. Feedback was timely, specific, and constructive, helping students to understand their strengths and areas for improvement.</w:t>
      </w:r>
    </w:p>
    <w:p>
      <w:pPr>
        <w:pStyle w:val="BodyText"/>
      </w:pPr>
      <w:r>
        <w:t xml:space="preserve">The teacher also emphasized the importance of self-assessment and peer assessment, encouraging students to take ownership of their learning. This approach helps to develop critical thinking and reflection skills, which are essential for success in UNEB examinations and beyond.</w:t>
      </w:r>
    </w:p>
    <w:bookmarkEnd w:id="26"/>
    <w:bookmarkStart w:id="27" w:name="professionalism-and-ethics"/>
    <w:p>
      <w:pPr>
        <w:pStyle w:val="Heading2"/>
      </w:pPr>
      <w:r>
        <w:t xml:space="preserve">8. Professionalism and Ethics</w:t>
      </w:r>
    </w:p>
    <w:p>
      <w:pPr>
        <w:pStyle w:val="FirstParagraph"/>
      </w:pPr>
      <w:r>
        <w:t xml:space="preserve">The Teacher Secondary demonstrated high levels of professionalism and ethical conduct. The teacher was punctual, well-dressed, and respectful towards students and colleagues. The teacher adhered to the code of conduct for teachers in Uganda, maintaining appropriate boundaries and treating all students with fairness and dignity.</w:t>
      </w:r>
    </w:p>
    <w:p>
      <w:pPr>
        <w:pStyle w:val="BodyText"/>
      </w:pPr>
      <w:r>
        <w:t xml:space="preserve">The teacher showed a commitment to continuous professional development, staying updated with the latest teaching methodologies and curriculum changes. This dedication to growth is essential for maintaining high standards of education in Kampala's competitive academic environment.</w:t>
      </w:r>
    </w:p>
    <w:bookmarkEnd w:id="27"/>
    <w:bookmarkStart w:id="28" w:name="areas-for-improvement"/>
    <w:p>
      <w:pPr>
        <w:pStyle w:val="Heading2"/>
      </w:pPr>
      <w:r>
        <w:t xml:space="preserve">9. Areas for Improvement</w:t>
      </w:r>
    </w:p>
    <w:p>
      <w:pPr>
        <w:pStyle w:val="FirstParagraph"/>
      </w:pPr>
      <w:r>
        <w:t xml:space="preserve">While the lesson was largely successful, there are areas where the Teacher Secondary can further enhance their practice:</w:t>
      </w:r>
    </w:p>
    <w:p>
      <w:pPr>
        <w:numPr>
          <w:ilvl w:val="0"/>
          <w:numId w:val="1001"/>
        </w:numPr>
        <w:pStyle w:val="Compact"/>
      </w:pPr>
      <w:r>
        <w:rPr>
          <w:bCs/>
          <w:b/>
        </w:rPr>
        <w:t xml:space="preserve">Time Management:</w:t>
      </w:r>
      <w:r>
        <w:t xml:space="preserve"> </w:t>
      </w:r>
      <w:r>
        <w:t xml:space="preserve">Some activities ran longer than planned, leading to a rushed conclusion. Better time allocation could ensure all objectives are fully covered.</w:t>
      </w:r>
    </w:p>
    <w:p>
      <w:pPr>
        <w:numPr>
          <w:ilvl w:val="0"/>
          <w:numId w:val="1001"/>
        </w:numPr>
        <w:pStyle w:val="Compact"/>
      </w:pPr>
      <w:r>
        <w:rPr>
          <w:bCs/>
          <w:b/>
        </w:rPr>
        <w:t xml:space="preserve">Student Engagement:</w:t>
      </w:r>
      <w:r>
        <w:t xml:space="preserve"> </w:t>
      </w:r>
      <w:r>
        <w:t xml:space="preserve">A few students were less engaged during group work. The teacher could implement strategies to ensure all students are actively participating.</w:t>
      </w:r>
    </w:p>
    <w:p>
      <w:pPr>
        <w:numPr>
          <w:ilvl w:val="0"/>
          <w:numId w:val="1001"/>
        </w:numPr>
        <w:pStyle w:val="Compact"/>
      </w:pPr>
      <w:r>
        <w:rPr>
          <w:bCs/>
          <w:b/>
        </w:rPr>
        <w:t xml:space="preserve">Use of Local Context:</w:t>
      </w:r>
      <w:r>
        <w:t xml:space="preserve"> </w:t>
      </w:r>
      <w:r>
        <w:t xml:space="preserve">While local examples were used, there is potential to further integrate community-based learning opportunities relevant to Kampala.</w:t>
      </w:r>
    </w:p>
    <w:bookmarkEnd w:id="28"/>
    <w:bookmarkStart w:id="29" w:name="conclusion-and-recommendations"/>
    <w:p>
      <w:pPr>
        <w:pStyle w:val="Heading2"/>
      </w:pPr>
      <w:r>
        <w:t xml:space="preserve">10. Conclusion and Recommendations</w:t>
      </w:r>
    </w:p>
    <w:p>
      <w:pPr>
        <w:pStyle w:val="FirstParagraph"/>
      </w:pPr>
      <w:r>
        <w:t xml:space="preserve">Overall, the Teacher Secondary demonstrated strong instructional skills, effective classroom management, and a commitment to student learning. The lesson was well-planned, engaging, and aligned with the national curriculum. The teacher's professionalism and ethical conduct set a positive example for students and colleagues.</w:t>
      </w:r>
    </w:p>
    <w:p>
      <w:pPr>
        <w:pStyle w:val="BodyText"/>
      </w:pPr>
      <w:r>
        <w:t xml:space="preserve">It is recommended that the teacher continues to focus on time management and strategies for inclusive engagement. Further professional development in differentiated instruction and ICT integration could also be beneficial. The school administration should support the teacher in accessing relevant training and resources to facilitate continuous improvement.</w:t>
      </w:r>
    </w:p>
    <w:p>
      <w:pPr>
        <w:pStyle w:val="BodyText"/>
      </w:pPr>
      <w:r>
        <w:t xml:space="preserve">This Peer Review Report serves as a constructive tool for professional growth and contributes to the overall quality of secondary education in Kampala, Uganda.</w:t>
      </w:r>
    </w:p>
    <w:p>
      <w:pPr>
        <w:pStyle w:val="BodyText"/>
      </w:pPr>
      <w:r>
        <w:rPr>
          <w:bCs/>
          <w:b/>
        </w:rPr>
        <w:t xml:space="preserve">Teacher's Signature:</w:t>
      </w:r>
    </w:p>
    <w:p>
      <w:pPr>
        <w:pStyle w:val="BodyText"/>
      </w:pPr>
      <w:r>
        <w:t xml:space="preserve">Date: _______________</w:t>
      </w:r>
    </w:p>
    <w:p>
      <w:pPr>
        <w:pStyle w:val="BodyText"/>
      </w:pPr>
      <w:r>
        <w:rPr>
          <w:bCs/>
          <w:b/>
        </w:rPr>
        <w:t xml:space="preserve">Reviewer's Signature:</w:t>
      </w:r>
    </w:p>
    <w:p>
      <w:pPr>
        <w:pStyle w:val="BodyText"/>
      </w:pPr>
      <w:r>
        <w:t xml:space="preserve">Date: _______________</w:t>
      </w:r>
    </w:p>
    <w:p>
      <w:pPr>
        <w:pStyle w:val="BodyText"/>
      </w:pPr>
      <w:r>
        <w:t xml:space="preserve">Note: This document is confidential and intended for professional development purposes only. It should be stored securely in accordance with the school's data protection policies.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Teacher Secondary - Uganda Kampala</dc:title>
  <dc:creator/>
  <dc:language>en</dc:language>
  <cp:keywords/>
  <dcterms:created xsi:type="dcterms:W3CDTF">2026-10-10T02:06:03Z</dcterms:created>
  <dcterms:modified xsi:type="dcterms:W3CDTF">2026-10-10T02:06:03Z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