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This document serves as a formal Peer Review Report for a Teacher Secondary within the educational framework of the United Arab Emirates Abu Dhabi. It is designed to align with the Abu Dhabi Department of Education and Knowledge (ADEK) standards and the broader UAE vision for educational excellence.</w:t>
      </w:r>
    </w:p>
    <w:bookmarkEnd w:id="20"/>
    <w:bookmarkStart w:id="21"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[Insert Teacher Name]</w:t>
            </w:r>
          </w:p>
        </w:tc>
      </w:tr>
      <w:tr>
        <w:tc>
          <w:tcPr/>
          <w:p>
            <w:pPr>
              <w:pStyle w:val="Compact"/>
              <w:jc w:val="left"/>
            </w:pPr>
            <w:r>
              <w:t xml:space="preserve">Role:</w:t>
            </w:r>
          </w:p>
        </w:tc>
        <w:tc>
          <w:tcPr/>
          <w:p>
            <w:pPr>
              <w:pStyle w:val="Compact"/>
              <w:jc w:val="left"/>
            </w:pPr>
            <w:r>
              <w:t xml:space="preserve">Teacher Secondary</w:t>
            </w:r>
          </w:p>
        </w:tc>
      </w:tr>
      <w:tr>
        <w:tc>
          <w:tcPr/>
          <w:p>
            <w:pPr>
              <w:pStyle w:val="Compact"/>
              <w:jc w:val="left"/>
            </w:pPr>
            <w:r>
              <w:t xml:space="preserve">Subject Area:</w:t>
            </w:r>
          </w:p>
        </w:tc>
        <w:tc>
          <w:tcPr/>
          <w:p>
            <w:pPr>
              <w:pStyle w:val="Compact"/>
              <w:jc w:val="left"/>
            </w:pPr>
            <w:r>
              <w:t xml:space="preserve">[Insert Subject]</w:t>
            </w:r>
          </w:p>
        </w:tc>
      </w:tr>
      <w:tr>
        <w:tc>
          <w:tcPr/>
          <w:p>
            <w:pPr>
              <w:pStyle w:val="Compact"/>
              <w:jc w:val="left"/>
            </w:pPr>
            <w:r>
              <w:t xml:space="preserve">School:</w:t>
            </w:r>
          </w:p>
        </w:tc>
        <w:tc>
          <w:tcPr/>
          <w:p>
            <w:pPr>
              <w:pStyle w:val="Compact"/>
              <w:jc w:val="left"/>
            </w:pPr>
            <w:r>
              <w:t xml:space="preserve">[Insert School Name], Abu Dhabi, UAE</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 Date:</w:t>
            </w:r>
          </w:p>
        </w:tc>
        <w:tc>
          <w:tcPr/>
          <w:p>
            <w:pPr>
              <w:pStyle w:val="Compact"/>
              <w:jc w:val="left"/>
            </w:pPr>
            <w:r>
              <w:t xml:space="preserve">[Insert Date]</w:t>
            </w:r>
          </w:p>
        </w:tc>
      </w:tr>
      <w:tr>
        <w:tc>
          <w:tcPr/>
          <w:p>
            <w:pPr>
              <w:pStyle w:val="Compact"/>
              <w:jc w:val="left"/>
            </w:pPr>
            <w:r>
              <w:t xml:space="preserve">Observation Duration:</w:t>
            </w:r>
          </w:p>
        </w:tc>
        <w:tc>
          <w:tcPr/>
          <w:p>
            <w:pPr>
              <w:pStyle w:val="Compact"/>
              <w:jc w:val="left"/>
            </w:pPr>
            <w:r>
              <w:t xml:space="preserve">[Insert Duration]</w:t>
            </w:r>
          </w:p>
        </w:tc>
      </w:tr>
    </w:tbl>
    <w:bookmarkEnd w:id="21"/>
    <w:bookmarkStart w:id="22" w:name="purpose-of-the-peer-review"/>
    <w:p>
      <w:pPr>
        <w:pStyle w:val="Heading2"/>
      </w:pPr>
      <w:r>
        <w:t xml:space="preserve">2. Purpose of the Peer Review</w:t>
      </w:r>
    </w:p>
    <w:p>
      <w:pPr>
        <w:pStyle w:val="FirstParagraph"/>
      </w:pPr>
      <w:r>
        <w:t xml:space="preserve">This Peer Review Report aims to provide constructive, evidence-based feedback to support the professional growth of the Teacher Secondary. In the context of Abu Dhabi’s education sector, continuous improvement is essential to meet national standards and prepare students for future challenges. The review focuses on classroom practice, curriculum delivery, student engagement, and alignment with UAE educational values.</w:t>
      </w:r>
    </w:p>
    <w:bookmarkEnd w:id="22"/>
    <w:bookmarkStart w:id="23" w:name="criteria-for-evaluation"/>
    <w:p>
      <w:pPr>
        <w:pStyle w:val="Heading2"/>
      </w:pPr>
      <w:r>
        <w:t xml:space="preserve">3. Criteria for Evaluation</w:t>
      </w:r>
    </w:p>
    <w:p>
      <w:pPr>
        <w:pStyle w:val="FirstParagraph"/>
      </w:pPr>
      <w:r>
        <w:t xml:space="preserve">The evaluation is based on the following key criteria, which reflect best practices for a Teacher Secondary in Abu Dhabi:</w:t>
      </w:r>
    </w:p>
    <w:p>
      <w:pPr>
        <w:numPr>
          <w:ilvl w:val="0"/>
          <w:numId w:val="1001"/>
        </w:numPr>
        <w:pStyle w:val="Compact"/>
      </w:pPr>
      <w:r>
        <w:t xml:space="preserve">Lesson Planning and Preparation</w:t>
      </w:r>
    </w:p>
    <w:p>
      <w:pPr>
        <w:numPr>
          <w:ilvl w:val="0"/>
          <w:numId w:val="1001"/>
        </w:numPr>
        <w:pStyle w:val="Compact"/>
      </w:pPr>
      <w:r>
        <w:t xml:space="preserve">Instructional Strategies and Delivery</w:t>
      </w:r>
    </w:p>
    <w:p>
      <w:pPr>
        <w:numPr>
          <w:ilvl w:val="0"/>
          <w:numId w:val="1001"/>
        </w:numPr>
        <w:pStyle w:val="Compact"/>
      </w:pPr>
      <w:r>
        <w:t xml:space="preserve">Student Engagement and Differentiation</w:t>
      </w:r>
    </w:p>
    <w:p>
      <w:pPr>
        <w:numPr>
          <w:ilvl w:val="0"/>
          <w:numId w:val="1001"/>
        </w:numPr>
        <w:pStyle w:val="Compact"/>
      </w:pPr>
      <w:r>
        <w:t xml:space="preserve">Assessment and Feedback</w:t>
      </w:r>
    </w:p>
    <w:p>
      <w:pPr>
        <w:numPr>
          <w:ilvl w:val="0"/>
          <w:numId w:val="1001"/>
        </w:numPr>
        <w:pStyle w:val="Compact"/>
      </w:pPr>
      <w:r>
        <w:t xml:space="preserve">Classroom Management and Environment</w:t>
      </w:r>
    </w:p>
    <w:p>
      <w:pPr>
        <w:numPr>
          <w:ilvl w:val="0"/>
          <w:numId w:val="1001"/>
        </w:numPr>
        <w:pStyle w:val="Compact"/>
      </w:pPr>
      <w:r>
        <w:t xml:space="preserve">Alignment with UAE Educational Standards and Values</w:t>
      </w:r>
    </w:p>
    <w:bookmarkEnd w:id="23"/>
    <w:bookmarkStart w:id="30" w:name="detailed-observations"/>
    <w:p>
      <w:pPr>
        <w:pStyle w:val="Heading2"/>
      </w:pPr>
      <w:r>
        <w:t xml:space="preserve">4. Detailed Observations</w:t>
      </w:r>
    </w:p>
    <w:bookmarkStart w:id="24" w:name="lesson-planning-and-preparation"/>
    <w:p>
      <w:pPr>
        <w:pStyle w:val="Heading3"/>
      </w:pPr>
      <w:r>
        <w:t xml:space="preserve">4.1 Lesson Planning and Preparation</w:t>
      </w:r>
    </w:p>
    <w:p>
      <w:pPr>
        <w:pStyle w:val="FirstParagraph"/>
      </w:pPr>
      <w:r>
        <w:t xml:space="preserve">The Teacher Secondary demonstrated thorough preparation. The lesson objectives were clear, measurable, and aligned with the curriculum requirements set by Abu Dhabi authorities. Resources were well-organized and culturally appropriate, reflecting the diverse student population in the UAE. The integration of technology was effective and supported learning outcomes.</w:t>
      </w:r>
    </w:p>
    <w:bookmarkEnd w:id="24"/>
    <w:bookmarkStart w:id="25" w:name="instructional-strategies-and-delivery"/>
    <w:p>
      <w:pPr>
        <w:pStyle w:val="Heading3"/>
      </w:pPr>
      <w:r>
        <w:t xml:space="preserve">4.2 Instructional Strategies and Delivery</w:t>
      </w:r>
    </w:p>
    <w:p>
      <w:pPr>
        <w:pStyle w:val="FirstParagraph"/>
      </w:pPr>
      <w:r>
        <w:t xml:space="preserve">Instructional methods were varied and engaging. The Teacher Secondary used a mix of direct instruction, collaborative learning, and inquiry-based activities. Explanations were clear, and concepts were broken down appropriately for secondary-level students. The pacing of the lesson allowed for sufficient exploration of key ideas while maintaining student interest.</w:t>
      </w:r>
    </w:p>
    <w:bookmarkEnd w:id="25"/>
    <w:bookmarkStart w:id="26" w:name="student-engagement-and-differentiation"/>
    <w:p>
      <w:pPr>
        <w:pStyle w:val="Heading3"/>
      </w:pPr>
      <w:r>
        <w:t xml:space="preserve">4.3 Student Engagement and Differentiation</w:t>
      </w:r>
    </w:p>
    <w:p>
      <w:pPr>
        <w:pStyle w:val="FirstParagraph"/>
      </w:pPr>
      <w:r>
        <w:t xml:space="preserve">Students were actively involved throughout the lesson. The Teacher Secondary employed strategies to differentiate instruction, catering to varying learning needs and abilities. Group work was structured effectively, encouraging peer interaction and mutual support. The classroom environment was inclusive, reflecting the multicultural context of Abu Dhabi.</w:t>
      </w:r>
    </w:p>
    <w:bookmarkEnd w:id="26"/>
    <w:bookmarkStart w:id="27" w:name="assessment-and-feedback"/>
    <w:p>
      <w:pPr>
        <w:pStyle w:val="Heading3"/>
      </w:pPr>
      <w:r>
        <w:t xml:space="preserve">4.4 Assessment and Feedback</w:t>
      </w:r>
    </w:p>
    <w:p>
      <w:pPr>
        <w:pStyle w:val="FirstParagraph"/>
      </w:pPr>
      <w:r>
        <w:t xml:space="preserve">Formative assessment techniques were used effectively to monitor student understanding. The Teacher Secondary provided timely and constructive feedback, guiding students toward improvement. Opportunities for self-assessment and reflection were incorporated, promoting student autonomy and responsibility for learning.</w:t>
      </w:r>
    </w:p>
    <w:bookmarkEnd w:id="27"/>
    <w:bookmarkStart w:id="28" w:name="classroom-management-and-environment"/>
    <w:p>
      <w:pPr>
        <w:pStyle w:val="Heading3"/>
      </w:pPr>
      <w:r>
        <w:t xml:space="preserve">4.5 Classroom Management and Environment</w:t>
      </w:r>
    </w:p>
    <w:p>
      <w:pPr>
        <w:pStyle w:val="FirstParagraph"/>
      </w:pPr>
      <w:r>
        <w:t xml:space="preserve">The classroom was well-managed, with clear expectations and routines. The Teacher Secondary maintained a positive and respectful atmosphere, consistent with UAE educational values. Transitions between activities were smooth, and student behavior was appropriately guided. The physical environment was organized and conducive to learning.</w:t>
      </w:r>
    </w:p>
    <w:bookmarkEnd w:id="28"/>
    <w:bookmarkStart w:id="29" w:name="Xcf09f7ee44b83cd9c7afa7fa84c1261419c3ddb"/>
    <w:p>
      <w:pPr>
        <w:pStyle w:val="Heading3"/>
      </w:pPr>
      <w:r>
        <w:t xml:space="preserve">4.6 Alignment with UAE Educational Standards and Values</w:t>
      </w:r>
    </w:p>
    <w:p>
      <w:pPr>
        <w:pStyle w:val="FirstParagraph"/>
      </w:pPr>
      <w:r>
        <w:t xml:space="preserve">The lesson content and delivery reflected an understanding of the UAE’s educational priorities, including national identity, cultural awareness, and global citizenship. The Teacher Secondary integrated values such as respect, integrity, and collaboration, which are central to the Abu Dhabi education framework.</w:t>
      </w:r>
    </w:p>
    <w:bookmarkEnd w:id="29"/>
    <w:bookmarkEnd w:id="30"/>
    <w:bookmarkStart w:id="31" w:name="strengths"/>
    <w:p>
      <w:pPr>
        <w:pStyle w:val="Heading2"/>
      </w:pPr>
      <w:r>
        <w:t xml:space="preserve">5. Strengths</w:t>
      </w:r>
    </w:p>
    <w:p>
      <w:pPr>
        <w:numPr>
          <w:ilvl w:val="0"/>
          <w:numId w:val="1002"/>
        </w:numPr>
        <w:pStyle w:val="Compact"/>
      </w:pPr>
      <w:r>
        <w:t xml:space="preserve">Strong subject knowledge and clear communication.</w:t>
      </w:r>
    </w:p>
    <w:p>
      <w:pPr>
        <w:numPr>
          <w:ilvl w:val="0"/>
          <w:numId w:val="1002"/>
        </w:numPr>
        <w:pStyle w:val="Compact"/>
      </w:pPr>
      <w:r>
        <w:t xml:space="preserve">Effective use of diverse instructional strategies.</w:t>
      </w:r>
    </w:p>
    <w:p>
      <w:pPr>
        <w:numPr>
          <w:ilvl w:val="0"/>
          <w:numId w:val="1002"/>
        </w:numPr>
        <w:pStyle w:val="Compact"/>
      </w:pPr>
      <w:r>
        <w:t xml:space="preserve">High level of student engagement and participation.</w:t>
      </w:r>
    </w:p>
    <w:p>
      <w:pPr>
        <w:numPr>
          <w:ilvl w:val="0"/>
          <w:numId w:val="1002"/>
        </w:numPr>
        <w:pStyle w:val="Compact"/>
      </w:pPr>
      <w:r>
        <w:t xml:space="preserve">Thoughtful differentiation to meet varied learning needs.</w:t>
      </w:r>
    </w:p>
    <w:p>
      <w:pPr>
        <w:numPr>
          <w:ilvl w:val="0"/>
          <w:numId w:val="1002"/>
        </w:numPr>
        <w:pStyle w:val="Compact"/>
      </w:pPr>
      <w:r>
        <w:t xml:space="preserve">Positive classroom climate aligned with UAE values.</w:t>
      </w:r>
    </w:p>
    <w:bookmarkEnd w:id="31"/>
    <w:bookmarkStart w:id="32" w:name="areas-for-improvement"/>
    <w:p>
      <w:pPr>
        <w:pStyle w:val="Heading2"/>
      </w:pPr>
      <w:r>
        <w:t xml:space="preserve">6. Areas for Improvement</w:t>
      </w:r>
    </w:p>
    <w:p>
      <w:pPr>
        <w:numPr>
          <w:ilvl w:val="0"/>
          <w:numId w:val="1003"/>
        </w:numPr>
        <w:pStyle w:val="Compact"/>
      </w:pPr>
      <w:r>
        <w:t xml:space="preserve">Increase opportunities for higher-order thinking and critical analysis.</w:t>
      </w:r>
    </w:p>
    <w:p>
      <w:pPr>
        <w:numPr>
          <w:ilvl w:val="0"/>
          <w:numId w:val="1003"/>
        </w:numPr>
        <w:pStyle w:val="Compact"/>
      </w:pPr>
      <w:r>
        <w:t xml:space="preserve">Further integrate formative assessment data to inform instructional adjustments.</w:t>
      </w:r>
    </w:p>
    <w:p>
      <w:pPr>
        <w:numPr>
          <w:ilvl w:val="0"/>
          <w:numId w:val="1003"/>
        </w:numPr>
        <w:pStyle w:val="Compact"/>
      </w:pPr>
      <w:r>
        <w:t xml:space="preserve">Enhance use of student-led inquiry and problem-solving tasks.</w:t>
      </w:r>
    </w:p>
    <w:p>
      <w:pPr>
        <w:numPr>
          <w:ilvl w:val="0"/>
          <w:numId w:val="1003"/>
        </w:numPr>
        <w:pStyle w:val="Compact"/>
      </w:pPr>
      <w:r>
        <w:t xml:space="preserve">Strengthen connections between subject content and real-world contexts in Abu Dhabi and the wider UAE.</w:t>
      </w:r>
    </w:p>
    <w:bookmarkEnd w:id="32"/>
    <w:bookmarkStart w:id="33" w:name="recommendations"/>
    <w:p>
      <w:pPr>
        <w:pStyle w:val="Heading2"/>
      </w:pPr>
      <w:r>
        <w:t xml:space="preserve">7. Recommendations</w:t>
      </w:r>
    </w:p>
    <w:p>
      <w:pPr>
        <w:pStyle w:val="FirstParagraph"/>
      </w:pPr>
      <w:r>
        <w:t xml:space="preserve">To support continued professional development, the following recommendations are made for the Teacher Secondary:</w:t>
      </w:r>
    </w:p>
    <w:p>
      <w:pPr>
        <w:numPr>
          <w:ilvl w:val="0"/>
          <w:numId w:val="1004"/>
        </w:numPr>
        <w:pStyle w:val="Compact"/>
      </w:pPr>
      <w:r>
        <w:t xml:space="preserve">Engage in targeted professional learning focused on inquiry-based pedagogy and critical thinking strategies.</w:t>
      </w:r>
    </w:p>
    <w:p>
      <w:pPr>
        <w:numPr>
          <w:ilvl w:val="0"/>
          <w:numId w:val="1004"/>
        </w:numPr>
        <w:pStyle w:val="Compact"/>
      </w:pPr>
      <w:r>
        <w:t xml:space="preserve">Collaborate with colleagues to share best practices in assessment and differentiation.</w:t>
      </w:r>
    </w:p>
    <w:p>
      <w:pPr>
        <w:numPr>
          <w:ilvl w:val="0"/>
          <w:numId w:val="1004"/>
        </w:numPr>
        <w:pStyle w:val="Compact"/>
      </w:pPr>
      <w:r>
        <w:t xml:space="preserve">Utilize ADEK resources and frameworks to further align practice with Abu Dhabi standards.</w:t>
      </w:r>
    </w:p>
    <w:p>
      <w:pPr>
        <w:numPr>
          <w:ilvl w:val="0"/>
          <w:numId w:val="1004"/>
        </w:numPr>
        <w:pStyle w:val="Compact"/>
      </w:pPr>
      <w:r>
        <w:t xml:space="preserve">Reflect regularly on lesson effectiveness and student outcomes, using evidence to guide improvements.</w:t>
      </w:r>
    </w:p>
    <w:bookmarkEnd w:id="33"/>
    <w:bookmarkStart w:id="34" w:name="overall-summary"/>
    <w:p>
      <w:pPr>
        <w:pStyle w:val="Heading2"/>
      </w:pPr>
      <w:r>
        <w:t xml:space="preserve">8. Overall Summary</w:t>
      </w:r>
    </w:p>
    <w:p>
      <w:pPr>
        <w:pStyle w:val="FirstParagraph"/>
      </w:pPr>
      <w:r>
        <w:t xml:space="preserve">This Peer Review Report confirms that the Teacher Secondary demonstrates a strong commitment to high-quality teaching and student learning in the Abu Dhabi context. The observed practices are largely aligned with UAE educational standards and reflect a professional, student-centered approach. With continued focus on the identified areas for improvement, the Teacher Secondary is well-positioned to further enhance instructional impact and contribute to the excellence of education in the United Arab Emirates Abu Dhabi.</w:t>
      </w:r>
    </w:p>
    <w:bookmarkEnd w:id="34"/>
    <w:bookmarkStart w:id="35" w:name="signatures"/>
    <w:p>
      <w:pPr>
        <w:pStyle w:val="Heading2"/>
      </w:pPr>
      <w:r>
        <w:t xml:space="preserve">9. Signatures</w:t>
      </w:r>
    </w:p>
    <w:p>
      <w:pPr>
        <w:pStyle w:val="FirstParagraph"/>
      </w:pPr>
      <w:r>
        <w:rPr>
          <w:bCs/>
          <w:b/>
        </w:rPr>
        <w:t xml:space="preserve">Teacher Secondary:</w:t>
      </w:r>
      <w:r>
        <w:t xml:space="preserve"> </w:t>
      </w:r>
      <w:r>
        <w:t xml:space="preserve">____________________________ Date: ______________</w:t>
      </w:r>
    </w:p>
    <w:p>
      <w:pPr>
        <w:pStyle w:val="BodyText"/>
      </w:pPr>
      <w:r>
        <w:rPr>
          <w:bCs/>
          <w:b/>
        </w:rPr>
        <w:t xml:space="preserve">Peer Reviewer:</w:t>
      </w:r>
      <w:r>
        <w:t xml:space="preserve"> </w:t>
      </w:r>
      <w:r>
        <w:t xml:space="preserve">____________________________ Date: ______________</w:t>
      </w:r>
    </w:p>
    <w:p>
      <w:pPr>
        <w:pStyle w:val="BodyText"/>
      </w:pPr>
      <w:r>
        <w:rPr>
          <w:bCs/>
          <w:b/>
        </w:rPr>
        <w:t xml:space="preserve">Head of Department/Principal (if applicable):</w:t>
      </w:r>
      <w:r>
        <w:t xml:space="preserve"> </w:t>
      </w:r>
      <w:r>
        <w:t xml:space="preserve">____________________________ Date: 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Abu Dhabi</dc:title>
  <dc:creator/>
  <dc:language>en</dc:language>
  <cp:keywords/>
  <dcterms:created xsi:type="dcterms:W3CDTF">2026-10-10T04:35:24Z</dcterms:created>
  <dcterms:modified xsi:type="dcterms:W3CDTF">2026-10-10T04:35:24Z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