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eer-review-report-teacher-secondary"/>
    <w:p>
      <w:pPr>
        <w:pStyle w:val="Heading1"/>
      </w:pPr>
      <w:r>
        <w:t xml:space="preserve">Peer Review Report: Teacher Secondary</w:t>
      </w:r>
    </w:p>
    <w:p>
      <w:pPr>
        <w:pStyle w:val="FirstParagraph"/>
      </w:pPr>
      <w:r>
        <w:rPr>
          <w:bCs/>
          <w:b/>
        </w:rPr>
        <w:t xml:space="preserve">Date of Report:</w:t>
      </w:r>
      <w:r>
        <w:t xml:space="preserve"> </w:t>
      </w:r>
      <w:r>
        <w:t xml:space="preserve">October 15, 2023</w:t>
      </w:r>
    </w:p>
    <w:p>
      <w:pPr>
        <w:pStyle w:val="BodyText"/>
      </w:pPr>
      <w:r>
        <w:rPr>
          <w:bCs/>
          <w:b/>
        </w:rPr>
        <w:t xml:space="preserve">Location:</w:t>
      </w:r>
      <w:r>
        <w:t xml:space="preserve"> </w:t>
      </w:r>
      <w:r>
        <w:t xml:space="preserve">Birmingham, United Kingdom</w:t>
      </w:r>
    </w:p>
    <w:p>
      <w:pPr>
        <w:pStyle w:val="BodyText"/>
      </w:pPr>
      <w:r>
        <w:rPr>
          <w:bCs/>
          <w:b/>
        </w:rPr>
        <w:t xml:space="preserve">Review Type:</w:t>
      </w:r>
      <w:r>
        <w:t xml:space="preserve"> </w:t>
      </w:r>
      <w:r>
        <w:t xml:space="preserve">Formal Peer Observation and Evaluation</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standards set by the Department for Education (DfE) and the Teachers' Standards in England. The review focuses on the practice of a Teacher Secondary within a comprehensive school setting in Birmingham, United Kingdom. Birmingham is a diverse and dynamic city, and this review takes into account the specific socio-cultural context of the region, including the need for inclusive practices that reflect the multicultural student body typical of schools in this area.</w:t>
      </w:r>
    </w:p>
    <w:p>
      <w:pPr>
        <w:pStyle w:val="BodyText"/>
      </w:pPr>
      <w:r>
        <w:t xml:space="preserve">The purpose of this peer review is to provide constructive feedback, identify areas of excellence, and suggest strategies for professional development. The review aligns with the school's commitment to continuous improvement and the broader educational goals of the West Midlands region.</w:t>
      </w:r>
    </w:p>
    <w:bookmarkEnd w:id="21"/>
    <w:bookmarkStart w:id="22" w:name="teacher-and-lesson-details"/>
    <w:p>
      <w:pPr>
        <w:pStyle w:val="Heading2"/>
      </w:pPr>
      <w:r>
        <w:t xml:space="preserve">2. Teacher and Lesson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Teacher Name</w:t>
            </w:r>
          </w:p>
        </w:tc>
        <w:tc>
          <w:tcPr/>
          <w:p>
            <w:pPr>
              <w:pStyle w:val="Compact"/>
              <w:jc w:val="left"/>
            </w:pPr>
            <w:r>
              <w:t xml:space="preserve">[Teacher Name]</w:t>
            </w:r>
          </w:p>
        </w:tc>
      </w:tr>
      <w:tr>
        <w:tc>
          <w:tcPr/>
          <w:p>
            <w:pPr>
              <w:pStyle w:val="Compact"/>
              <w:jc w:val="left"/>
            </w:pPr>
            <w:r>
              <w:t xml:space="preserve">Subject</w:t>
            </w:r>
          </w:p>
        </w:tc>
        <w:tc>
          <w:tcPr/>
          <w:p>
            <w:pPr>
              <w:pStyle w:val="Compact"/>
              <w:jc w:val="left"/>
            </w:pPr>
            <w:r>
              <w:t xml:space="preserve">[Subject, e.g., English, Mathematics, Science]</w:t>
            </w:r>
          </w:p>
        </w:tc>
      </w:tr>
      <w:tr>
        <w:tc>
          <w:tcPr/>
          <w:p>
            <w:pPr>
              <w:pStyle w:val="Compact"/>
              <w:jc w:val="left"/>
            </w:pPr>
            <w:r>
              <w:t xml:space="preserve">Year Group</w:t>
            </w:r>
          </w:p>
        </w:tc>
        <w:tc>
          <w:tcPr/>
          <w:p>
            <w:pPr>
              <w:pStyle w:val="Compact"/>
              <w:jc w:val="left"/>
            </w:pPr>
            <w:r>
              <w:t xml:space="preserve">[Year Group, e.g., Year 10]</w:t>
            </w:r>
          </w:p>
        </w:tc>
      </w:tr>
      <w:tr>
        <w:tc>
          <w:tcPr/>
          <w:p>
            <w:pPr>
              <w:pStyle w:val="Compact"/>
              <w:jc w:val="left"/>
            </w:pPr>
            <w:r>
              <w:t xml:space="preserve">Date of Observation</w:t>
            </w:r>
          </w:p>
        </w:tc>
        <w:tc>
          <w:tcPr/>
          <w:p>
            <w:pPr>
              <w:pStyle w:val="Compact"/>
              <w:jc w:val="left"/>
            </w:pPr>
            <w:r>
              <w:t xml:space="preserve">[Date]</w:t>
            </w:r>
          </w:p>
        </w:tc>
      </w:tr>
      <w:tr>
        <w:tc>
          <w:tcPr/>
          <w:p>
            <w:pPr>
              <w:pStyle w:val="Compact"/>
              <w:jc w:val="left"/>
            </w:pPr>
            <w:r>
              <w:t xml:space="preserve">Duration</w:t>
            </w:r>
          </w:p>
        </w:tc>
        <w:tc>
          <w:tcPr/>
          <w:p>
            <w:pPr>
              <w:pStyle w:val="Compact"/>
              <w:jc w:val="left"/>
            </w:pPr>
            <w:r>
              <w:t xml:space="preserve">[Duration, e.g., 60 minutes]</w:t>
            </w:r>
          </w:p>
        </w:tc>
      </w:tr>
      <w:tr>
        <w:tc>
          <w:tcPr/>
          <w:p>
            <w:pPr>
              <w:pStyle w:val="Compact"/>
              <w:jc w:val="left"/>
            </w:pPr>
            <w:r>
              <w:t xml:space="preserve">Reviewer Name</w:t>
            </w:r>
          </w:p>
        </w:tc>
        <w:tc>
          <w:tcPr/>
          <w:p>
            <w:pPr>
              <w:pStyle w:val="Compact"/>
              <w:jc w:val="left"/>
            </w:pPr>
            <w:r>
              <w:t xml:space="preserve">[Reviewer Name]</w:t>
            </w:r>
          </w:p>
        </w:tc>
      </w:tr>
    </w:tbl>
    <w:bookmarkEnd w:id="22"/>
    <w:bookmarkStart w:id="30" w:name="evaluation-against-teachers-standards"/>
    <w:p>
      <w:pPr>
        <w:pStyle w:val="Heading2"/>
      </w:pPr>
      <w:r>
        <w:t xml:space="preserve">3. Evaluation Against Teachers' Standards</w:t>
      </w:r>
    </w:p>
    <w:p>
      <w:pPr>
        <w:pStyle w:val="FirstParagraph"/>
      </w:pPr>
      <w:r>
        <w:t xml:space="preserve">The following evaluation is based on the observed lesson and evidence gathered from lesson planning, student work, and post-observation discussions.</w:t>
      </w:r>
    </w:p>
    <w:bookmarkStart w:id="23" w:name="set-high-expectations"/>
    <w:p>
      <w:pPr>
        <w:pStyle w:val="Heading3"/>
      </w:pPr>
      <w:r>
        <w:t xml:space="preserve">3.1 Set High Expectations</w:t>
      </w:r>
    </w:p>
    <w:p>
      <w:pPr>
        <w:pStyle w:val="FirstParagraph"/>
      </w:pPr>
      <w:r>
        <w:t xml:space="preserve">The Teacher Secondary demonstrated a clear commitment to setting high expectations for all students. The lesson objectives were challenging yet achievable, and the teacher consistently encouraged students to strive for excellence. In the context of Birmingham's diverse student population, the teacher ensured that expectations were inclusive and culturally responsive, fostering a sense of belonging and ambition among all learners.</w:t>
      </w:r>
    </w:p>
    <w:bookmarkEnd w:id="23"/>
    <w:bookmarkStart w:id="24" w:name="promote-good-progress-and-outcomes"/>
    <w:p>
      <w:pPr>
        <w:pStyle w:val="Heading3"/>
      </w:pPr>
      <w:r>
        <w:t xml:space="preserve">3.2 Promote Good Progress and Outcomes</w:t>
      </w:r>
    </w:p>
    <w:p>
      <w:pPr>
        <w:pStyle w:val="FirstParagraph"/>
      </w:pPr>
      <w:r>
        <w:t xml:space="preserve">Students made good progress during the lesson, as evidenced by their engagement and the quality of their responses. The teacher used formative assessment techniques effectively to check understanding and provide timely feedback. The lesson was well-structured, with clear transitions between activities, which helped maintain student focus and momentum.</w:t>
      </w:r>
    </w:p>
    <w:bookmarkEnd w:id="24"/>
    <w:bookmarkStart w:id="25" w:name="demonstrate-good-subject-knowledge"/>
    <w:p>
      <w:pPr>
        <w:pStyle w:val="Heading3"/>
      </w:pPr>
      <w:r>
        <w:t xml:space="preserve">3.3 Demonstrate Good Subject Knowledge</w:t>
      </w:r>
    </w:p>
    <w:p>
      <w:pPr>
        <w:pStyle w:val="FirstParagraph"/>
      </w:pPr>
      <w:r>
        <w:t xml:space="preserve">The teacher displayed strong subject knowledge and was able to answer student questions accurately and confidently. The content was presented in a way that was accessible to students of varying abilities, with appropriate scaffolding provided where necessary. The teacher also made connections to real-world contexts, which is particularly relevant in a city like Birmingham, where students benefit from seeing the practical applications of their learning.</w:t>
      </w:r>
    </w:p>
    <w:bookmarkEnd w:id="25"/>
    <w:bookmarkStart w:id="26" w:name="Xa536ed21cba1c591b5bfd4a5549e2345aea539b"/>
    <w:p>
      <w:pPr>
        <w:pStyle w:val="Heading3"/>
      </w:pPr>
      <w:r>
        <w:t xml:space="preserve">3.4 Adapt Teaching to Cater for Different Groups of Pupils</w:t>
      </w:r>
    </w:p>
    <w:p>
      <w:pPr>
        <w:pStyle w:val="FirstParagraph"/>
      </w:pPr>
      <w:r>
        <w:t xml:space="preserve">The teacher differentiated instruction effectively, catering to the needs of high-attaining students, those with special educational needs and disabilities (SEND), and English as an Additional Language (EAL) learners. This is crucial in Birmingham, where schools often have a high proportion of EAL students. The use of visual aids, group work, and targeted questioning ensured that all students were able to access the curriculum.</w:t>
      </w:r>
    </w:p>
    <w:bookmarkEnd w:id="26"/>
    <w:bookmarkStart w:id="27" w:name="Xaf3a134fb1fdb39f4c3911440e63ea43dbf6e06"/>
    <w:p>
      <w:pPr>
        <w:pStyle w:val="Heading3"/>
      </w:pPr>
      <w:r>
        <w:t xml:space="preserve">3.5 Demonstrate Knowledge and Understanding of How to Assess and Make Accurate Progress</w:t>
      </w:r>
    </w:p>
    <w:p>
      <w:pPr>
        <w:pStyle w:val="FirstParagraph"/>
      </w:pPr>
      <w:r>
        <w:t xml:space="preserve">Assessment for learning was embedded throughout the lesson. The teacher used a variety of assessment strategies, including questioning, peer assessment, and self-assessment, to gauge student understanding. Feedback was specific, actionable, and focused on helping students improve their work.</w:t>
      </w:r>
    </w:p>
    <w:bookmarkEnd w:id="27"/>
    <w:bookmarkStart w:id="28" w:name="X7d8b07f39da3348b067c7654660b1a7e3b5facf"/>
    <w:p>
      <w:pPr>
        <w:pStyle w:val="Heading3"/>
      </w:pPr>
      <w:r>
        <w:t xml:space="preserve">3.6 Manage Behaviour Effectively to Ensure a Good and Safe Learning Environment</w:t>
      </w:r>
    </w:p>
    <w:p>
      <w:pPr>
        <w:pStyle w:val="FirstParagraph"/>
      </w:pPr>
      <w:r>
        <w:t xml:space="preserve">The classroom environment was positive and conducive to learning. The teacher established clear behaviour expectations and consistently reinforced them. Students were respectful and engaged, and the teacher managed any minor disruptions calmly and effectively. The teacher also promoted a safe and inclusive environment, where students felt comfortable expressing their ideas and asking questions.</w:t>
      </w:r>
    </w:p>
    <w:bookmarkEnd w:id="28"/>
    <w:bookmarkStart w:id="29" w:name="X0297a7fbf4a5ddb14b37deb0c7c6401f9ae1398"/>
    <w:p>
      <w:pPr>
        <w:pStyle w:val="Heading3"/>
      </w:pPr>
      <w:r>
        <w:t xml:space="preserve">3.7 Fulfil Wider Professional Responsibilities</w:t>
      </w:r>
    </w:p>
    <w:p>
      <w:pPr>
        <w:pStyle w:val="FirstParagraph"/>
      </w:pPr>
      <w:r>
        <w:t xml:space="preserve">The teacher demonstrated a commitment to professional development and collaboration. They actively participated in departmental meetings and contributed to the school's improvement plans. The teacher also showed an understanding of their role in safeguarding students and promoting their well-being.</w:t>
      </w:r>
    </w:p>
    <w:bookmarkEnd w:id="29"/>
    <w:bookmarkEnd w:id="30"/>
    <w:bookmarkStart w:id="31" w:name="strengths"/>
    <w:p>
      <w:pPr>
        <w:pStyle w:val="Heading2"/>
      </w:pPr>
      <w:r>
        <w:t xml:space="preserve">4. Strengths</w:t>
      </w:r>
    </w:p>
    <w:p>
      <w:pPr>
        <w:numPr>
          <w:ilvl w:val="0"/>
          <w:numId w:val="1001"/>
        </w:numPr>
        <w:pStyle w:val="Compact"/>
      </w:pPr>
      <w:r>
        <w:t xml:space="preserve">Strong subject knowledge and ability to explain complex concepts clearly.</w:t>
      </w:r>
    </w:p>
    <w:p>
      <w:pPr>
        <w:numPr>
          <w:ilvl w:val="0"/>
          <w:numId w:val="1001"/>
        </w:numPr>
        <w:pStyle w:val="Compact"/>
      </w:pPr>
      <w:r>
        <w:t xml:space="preserve">Effective use of differentiation to meet the needs of diverse learners.</w:t>
      </w:r>
    </w:p>
    <w:p>
      <w:pPr>
        <w:numPr>
          <w:ilvl w:val="0"/>
          <w:numId w:val="1001"/>
        </w:numPr>
        <w:pStyle w:val="Compact"/>
      </w:pPr>
      <w:r>
        <w:t xml:space="preserve">Positive classroom management and ability to create a supportive learning environment.</w:t>
      </w:r>
    </w:p>
    <w:p>
      <w:pPr>
        <w:numPr>
          <w:ilvl w:val="0"/>
          <w:numId w:val="1001"/>
        </w:numPr>
        <w:pStyle w:val="Compact"/>
      </w:pPr>
      <w:r>
        <w:t xml:space="preserve">Use of formative assessment to inform teaching and support student progress.</w:t>
      </w:r>
    </w:p>
    <w:p>
      <w:pPr>
        <w:numPr>
          <w:ilvl w:val="0"/>
          <w:numId w:val="1001"/>
        </w:numPr>
        <w:pStyle w:val="Compact"/>
      </w:pPr>
      <w:r>
        <w:t xml:space="preserve">Commitment to inclusive practices that reflect the multicultural context of Birmingham.</w:t>
      </w:r>
    </w:p>
    <w:bookmarkEnd w:id="31"/>
    <w:bookmarkStart w:id="32" w:name="areas-for-development"/>
    <w:p>
      <w:pPr>
        <w:pStyle w:val="Heading2"/>
      </w:pPr>
      <w:r>
        <w:t xml:space="preserve">5. Areas for Development</w:t>
      </w:r>
    </w:p>
    <w:p>
      <w:pPr>
        <w:numPr>
          <w:ilvl w:val="0"/>
          <w:numId w:val="1002"/>
        </w:numPr>
        <w:pStyle w:val="Compact"/>
      </w:pPr>
      <w:r>
        <w:t xml:space="preserve">Consider incorporating more technology-enhanced learning activities to engage digital-native students.</w:t>
      </w:r>
    </w:p>
    <w:p>
      <w:pPr>
        <w:numPr>
          <w:ilvl w:val="0"/>
          <w:numId w:val="1002"/>
        </w:numPr>
        <w:pStyle w:val="Compact"/>
      </w:pPr>
      <w:r>
        <w:t xml:space="preserve">Provide more opportunities for student-led inquiry and independent learning.</w:t>
      </w:r>
    </w:p>
    <w:p>
      <w:pPr>
        <w:numPr>
          <w:ilvl w:val="0"/>
          <w:numId w:val="1002"/>
        </w:numPr>
        <w:pStyle w:val="Compact"/>
      </w:pPr>
      <w:r>
        <w:t xml:space="preserve">Further develop strategies for supporting students with complex SEND needs.</w:t>
      </w:r>
    </w:p>
    <w:p>
      <w:pPr>
        <w:numPr>
          <w:ilvl w:val="0"/>
          <w:numId w:val="1002"/>
        </w:numPr>
        <w:pStyle w:val="Compact"/>
      </w:pPr>
      <w:r>
        <w:t xml:space="preserve">Explore ways to strengthen links with local Birmingham community resources to enrich the curriculum.</w:t>
      </w:r>
    </w:p>
    <w:bookmarkEnd w:id="32"/>
    <w:bookmarkStart w:id="33" w:name="recommendations"/>
    <w:p>
      <w:pPr>
        <w:pStyle w:val="Heading2"/>
      </w:pPr>
      <w:r>
        <w:t xml:space="preserve">6. Recommendations</w:t>
      </w:r>
    </w:p>
    <w:p>
      <w:pPr>
        <w:pStyle w:val="FirstParagraph"/>
      </w:pPr>
      <w:r>
        <w:t xml:space="preserve">Based on the findings of this peer review, the following recommendations are made:</w:t>
      </w:r>
    </w:p>
    <w:p>
      <w:pPr>
        <w:numPr>
          <w:ilvl w:val="0"/>
          <w:numId w:val="1003"/>
        </w:numPr>
        <w:pStyle w:val="Compact"/>
      </w:pPr>
      <w:r>
        <w:t xml:space="preserve">Engage in professional development focused on integrating technology into teaching practices.</w:t>
      </w:r>
    </w:p>
    <w:p>
      <w:pPr>
        <w:numPr>
          <w:ilvl w:val="0"/>
          <w:numId w:val="1003"/>
        </w:numPr>
        <w:pStyle w:val="Compact"/>
      </w:pPr>
      <w:r>
        <w:t xml:space="preserve">Collaborate with colleagues to share best practices for supporting EAL and SEND students.</w:t>
      </w:r>
    </w:p>
    <w:p>
      <w:pPr>
        <w:numPr>
          <w:ilvl w:val="0"/>
          <w:numId w:val="1003"/>
        </w:numPr>
        <w:pStyle w:val="Compact"/>
      </w:pPr>
      <w:r>
        <w:t xml:space="preserve">Participate in local Birmingham educational networks to stay informed about regional initiatives and resources.</w:t>
      </w:r>
    </w:p>
    <w:p>
      <w:pPr>
        <w:numPr>
          <w:ilvl w:val="0"/>
          <w:numId w:val="1003"/>
        </w:numPr>
        <w:pStyle w:val="Compact"/>
      </w:pPr>
      <w:r>
        <w:t xml:space="preserve">Reflect on and refine strategies for promoting student autonomy and critical thinking.</w:t>
      </w:r>
    </w:p>
    <w:bookmarkEnd w:id="33"/>
    <w:bookmarkStart w:id="34" w:name="conclusion"/>
    <w:p>
      <w:pPr>
        <w:pStyle w:val="Heading2"/>
      </w:pPr>
      <w:r>
        <w:t xml:space="preserve">7. Conclusion</w:t>
      </w:r>
    </w:p>
    <w:p>
      <w:pPr>
        <w:pStyle w:val="FirstParagraph"/>
      </w:pPr>
      <w:r>
        <w:t xml:space="preserve">This Peer Review Report highlights the strengths and areas for development of the Teacher Secondary observed in Birmingham, United Kingdom. The teacher demonstrates a strong commitment to high-quality teaching and learning, with a particular focus on inclusivity and student progress. By implementing the recommendations outlined in this report, the teacher can further enhance their practice and contribute to the continued success of their students and the school community.</w:t>
      </w:r>
    </w:p>
    <w:bookmarkEnd w:id="34"/>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Teacher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Birmingham, United Kingdom</dc:title>
  <dc:creator/>
  <dc:language>en</dc:language>
  <cp:keywords/>
  <dcterms:created xsi:type="dcterms:W3CDTF">2026-10-10T02:45:01Z</dcterms:created>
  <dcterms:modified xsi:type="dcterms:W3CDTF">2026-10-10T02:45:01Z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