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Teacher</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t xml:space="preserve">Secondary Education Sector - Tashkent Region</w:t>
      </w:r>
    </w:p>
    <w:bookmarkEnd w:id="20"/>
    <w:p>
      <w:pPr>
        <w:pStyle w:val="BodyText"/>
      </w:pPr>
      <w:r>
        <w:rPr>
          <w:bCs/>
          <w:b/>
        </w:rPr>
        <w:t xml:space="preserve">Date of Observation:</w:t>
      </w:r>
      <w:r>
        <w:t xml:space="preserve"> </w:t>
      </w:r>
      <w:r>
        <w:t xml:space="preserve">October 24, 2023</w:t>
      </w:r>
    </w:p>
    <w:p>
      <w:pPr>
        <w:pStyle w:val="BodyText"/>
      </w:pPr>
      <w:r>
        <w:rPr>
          <w:bCs/>
          <w:b/>
        </w:rPr>
        <w:t xml:space="preserve">Location:</w:t>
      </w:r>
      <w:r>
        <w:t xml:space="preserve"> </w:t>
      </w:r>
      <w:r>
        <w:t xml:space="preserve">General Secondary School No. 142, Tashkent City</w:t>
      </w:r>
    </w:p>
    <w:p>
      <w:pPr>
        <w:pStyle w:val="BodyText"/>
      </w:pPr>
      <w:r>
        <w:rPr>
          <w:bCs/>
          <w:b/>
        </w:rPr>
        <w:t xml:space="preserve">Teacher Under Review:</w:t>
      </w:r>
      <w:r>
        <w:t xml:space="preserve"> </w:t>
      </w:r>
      <w:r>
        <w:t xml:space="preserve">Mr. A. Karimov</w:t>
      </w:r>
    </w:p>
    <w:p>
      <w:pPr>
        <w:pStyle w:val="BodyText"/>
      </w:pPr>
      <w:r>
        <w:rPr>
          <w:bCs/>
          <w:b/>
        </w:rPr>
        <w:t xml:space="preserve">Subject:</w:t>
      </w:r>
      <w:r>
        <w:t xml:space="preserve"> </w:t>
      </w:r>
      <w:r>
        <w:t xml:space="preserve">Mathematics (Grade 9)</w:t>
      </w:r>
    </w:p>
    <w:p>
      <w:pPr>
        <w:pStyle w:val="BodyText"/>
      </w:pPr>
      <w:r>
        <w:rPr>
          <w:bCs/>
          <w:b/>
        </w:rPr>
        <w:t xml:space="preserve">Reviewer:</w:t>
      </w:r>
      <w:r>
        <w:t xml:space="preserve"> </w:t>
      </w:r>
      <w:r>
        <w:t xml:space="preserve">Ms. L. Rahimova (Senior Methodologist)</w:t>
      </w:r>
    </w:p>
    <w:p>
      <w:pPr>
        <w:pStyle w:val="BodyText"/>
      </w:pPr>
      <w:r>
        <w:rPr>
          <w:bCs/>
          <w:b/>
        </w:rPr>
        <w:t xml:space="preserve">Duration:</w:t>
      </w:r>
      <w:r>
        <w:t xml:space="preserve"> </w:t>
      </w:r>
      <w:r>
        <w:t xml:space="preserve">45 Minutes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in accordance with the Ministry of Public Education of the Republic of Uzbekistan's standards for professional development and quality assurance. The objective of this review is to evaluate the pedagogical practices of a</w:t>
      </w:r>
      <w:r>
        <w:t xml:space="preserve"> </w:t>
      </w:r>
      <w:r>
        <w:rPr>
          <w:bCs/>
          <w:b/>
        </w:rPr>
        <w:t xml:space="preserve">Teacher Secondary</w:t>
      </w:r>
      <w:r>
        <w:t xml:space="preserve"> </w:t>
      </w:r>
      <w:r>
        <w:t xml:space="preserve">level educator within the dynamic educational landscape of</w:t>
      </w:r>
      <w:r>
        <w:t xml:space="preserve"> </w:t>
      </w:r>
      <w:r>
        <w:rPr>
          <w:bCs/>
          <w:b/>
        </w:rPr>
        <w:t xml:space="preserve">Uzbekistan Tashkent</w:t>
      </w:r>
      <w:r>
        <w:t xml:space="preserve">. The observation focused on lesson planning, classroom management, student engagement, and the integration of modern educational technologies. The overall performance demonstrates a strong commitment to the national curriculum while showing significant potential for adopting innovative teaching methodologies.</w:t>
      </w:r>
    </w:p>
    <w:bookmarkEnd w:id="21"/>
    <w:bookmarkStart w:id="22" w:name="lesson-planning-and-content-knowledge"/>
    <w:p>
      <w:pPr>
        <w:pStyle w:val="Heading2"/>
      </w:pPr>
      <w:r>
        <w:t xml:space="preserve">2. Lesson Planning and Content Knowledge</w:t>
      </w:r>
    </w:p>
    <w:p>
      <w:pPr>
        <w:pStyle w:val="FirstParagraph"/>
      </w:pPr>
      <w:r>
        <w:t xml:space="preserve">The lesson observed was titled "Quadratic Equations and Their Applications." The</w:t>
      </w:r>
      <w:r>
        <w:t xml:space="preserve"> </w:t>
      </w:r>
      <w:r>
        <w:rPr>
          <w:bCs/>
          <w:b/>
        </w:rPr>
        <w:t xml:space="preserve">Teacher Secondary</w:t>
      </w:r>
      <w:r>
        <w:t xml:space="preserve"> </w:t>
      </w:r>
      <w:r>
        <w:t xml:space="preserve">demonstrated a profound understanding of the subject matter, aligning perfectly with the state-approved curriculum for Grade 9. The lesson objectives were clearly stated at the beginning of the class, ensuring that students understood the learning outcomes.</w:t>
      </w:r>
    </w:p>
    <w:p>
      <w:pPr>
        <w:pStyle w:val="BodyText"/>
      </w:pPr>
      <w:r>
        <w:t xml:space="preserve">In the context of</w:t>
      </w:r>
      <w:r>
        <w:t xml:space="preserve"> </w:t>
      </w:r>
      <w:r>
        <w:rPr>
          <w:bCs/>
          <w:b/>
        </w:rPr>
        <w:t xml:space="preserve">Uzbekistan Tashkent</w:t>
      </w:r>
      <w:r>
        <w:t xml:space="preserve">, where educational standards are rapidly evolving to meet international benchmarks, the teacher's ability to connect abstract mathematical concepts to real-world scenarios was commendable. The lesson plan was structured logically, moving from theoretical explanation to guided practice and finally to independent problem-solving. However, there is room to enhance differentiation strategies to better support students with varying levels of proficiency, a key requirement in modern inclusive education frameworks.</w:t>
      </w:r>
    </w:p>
    <w:bookmarkEnd w:id="22"/>
    <w:bookmarkStart w:id="23" w:name="classroom-management-and-environment"/>
    <w:p>
      <w:pPr>
        <w:pStyle w:val="Heading2"/>
      </w:pPr>
      <w:r>
        <w:t xml:space="preserve">3. Classroom Management and Environment</w:t>
      </w:r>
    </w:p>
    <w:p>
      <w:pPr>
        <w:pStyle w:val="FirstParagraph"/>
      </w:pPr>
      <w:r>
        <w:t xml:space="preserve">Classroom management was effective and professional. The teacher maintained a respectful and disciplined environment, which is crucial in large secondary school classes common in Tashkent. Students were attentive, and transitions between activities were smooth. The teacher utilized positive reinforcement effectively, encouraging students to participate without fear of making mistakes.</w:t>
      </w:r>
    </w:p>
    <w:p>
      <w:pPr>
        <w:pStyle w:val="BodyText"/>
      </w:pPr>
      <w:r>
        <w:t xml:space="preserve">The physical environment of the classroom was clean and organized. Visual aids, including posters of mathematical formulas and the Uzbekistan national flag, were displayed appropriately. The teacher successfully managed the noise level and ensured that all students were engaged in the learning process. This reflects a high level of professionalism expected from a</w:t>
      </w:r>
      <w:r>
        <w:t xml:space="preserve"> </w:t>
      </w:r>
      <w:r>
        <w:rPr>
          <w:bCs/>
          <w:b/>
        </w:rPr>
        <w:t xml:space="preserve">Teacher Secondary</w:t>
      </w:r>
      <w:r>
        <w:t xml:space="preserve"> </w:t>
      </w:r>
      <w:r>
        <w:t xml:space="preserve">in the capital region.</w:t>
      </w:r>
    </w:p>
    <w:bookmarkEnd w:id="23"/>
    <w:bookmarkStart w:id="24" w:name="student-engagement-and-interaction"/>
    <w:p>
      <w:pPr>
        <w:pStyle w:val="Heading2"/>
      </w:pPr>
      <w:r>
        <w:t xml:space="preserve">4. Student Engagement and Interaction</w:t>
      </w:r>
    </w:p>
    <w:p>
      <w:pPr>
        <w:pStyle w:val="FirstParagraph"/>
      </w:pPr>
      <w:r>
        <w:t xml:space="preserve">Student engagement was a highlight of this</w:t>
      </w:r>
      <w:r>
        <w:t xml:space="preserve"> </w:t>
      </w:r>
      <w:r>
        <w:rPr>
          <w:bCs/>
          <w:b/>
        </w:rPr>
        <w:t xml:space="preserve">Peer Review Report</w:t>
      </w:r>
      <w:r>
        <w:t xml:space="preserve">. The teacher employed a variety of questioning techniques, ranging from recall questions to higher-order thinking questions that required analysis and evaluation. Group work activities were introduced, allowing students to collaborate and solve problems together. This collaborative approach is increasingly emphasized in Uzbekistan's educational reforms to foster critical thinking and teamwork skills.</w:t>
      </w:r>
    </w:p>
    <w:p>
      <w:pPr>
        <w:pStyle w:val="BodyText"/>
      </w:pPr>
      <w:r>
        <w:t xml:space="preserve">However, it was noted that while the majority of students were actively participating, a small group of students remained passive. To address this, the teacher could implement more structured peer-to-peer interaction strategies, such as "think-pair-share," to ensure that every student has an opportunity to contribute. This is particularly important in</w:t>
      </w:r>
      <w:r>
        <w:t xml:space="preserve"> </w:t>
      </w:r>
      <w:r>
        <w:rPr>
          <w:bCs/>
          <w:b/>
        </w:rPr>
        <w:t xml:space="preserve">Uzbekistan Tashkent</w:t>
      </w:r>
      <w:r>
        <w:t xml:space="preserve">, where classrooms can be diverse in terms of student backgrounds and abilities.</w:t>
      </w:r>
    </w:p>
    <w:bookmarkEnd w:id="24"/>
    <w:bookmarkStart w:id="25" w:name="use-of-technology-and-resources"/>
    <w:p>
      <w:pPr>
        <w:pStyle w:val="Heading2"/>
      </w:pPr>
      <w:r>
        <w:t xml:space="preserve">5. Use of Technology and Resources</w:t>
      </w:r>
    </w:p>
    <w:p>
      <w:pPr>
        <w:pStyle w:val="FirstParagraph"/>
      </w:pPr>
      <w:r>
        <w:t xml:space="preserve">The integration of technology was adequate but has significant potential for improvement. The teacher used a traditional blackboard and chalk effectively for demonstrations. However, given the push for digitalization in</w:t>
      </w:r>
      <w:r>
        <w:t xml:space="preserve"> </w:t>
      </w:r>
      <w:r>
        <w:rPr>
          <w:bCs/>
          <w:b/>
        </w:rPr>
        <w:t xml:space="preserve">Uzbekistan Tashkent</w:t>
      </w:r>
      <w:r>
        <w:t xml:space="preserve"> </w:t>
      </w:r>
      <w:r>
        <w:t xml:space="preserve">schools, the use of interactive whiteboards, educational apps, or online resources could enhance the learning experience. For instance, using graphing software to visualize quadratic functions could provide students with a deeper understanding of the topic.</w:t>
      </w:r>
    </w:p>
    <w:p>
      <w:pPr>
        <w:pStyle w:val="BodyText"/>
      </w:pPr>
      <w:r>
        <w:t xml:space="preserve">The teacher was observed using printed worksheets, which were well-designed and aligned with the lesson objectives. While these resources are valuable, incorporating digital tools could make the lessons more interactive and engaging for the digital-native generation of students in Tashkent.</w:t>
      </w:r>
    </w:p>
    <w:bookmarkEnd w:id="25"/>
    <w:bookmarkStart w:id="27" w:name="assessment-and-feedback"/>
    <w:p>
      <w:pPr>
        <w:pStyle w:val="Heading2"/>
      </w:pPr>
      <w:r>
        <w:t xml:space="preserve">6. Assessment and Feedback</w:t>
      </w:r>
    </w:p>
    <w:p>
      <w:pPr>
        <w:pStyle w:val="FirstParagraph"/>
      </w:pPr>
      <w:r>
        <w:t xml:space="preserve">Formative assessment was integrated throughout the lesson. The teacher monitored student progress during group work and provided immediate feedback. This approach helps students identify their mistakes and learn from them in real-time. The feedback was constructive and focused on improving understanding rather than just correcting errors.</w:t>
      </w:r>
    </w:p>
    <w:p>
      <w:pPr>
        <w:pStyle w:val="BodyText"/>
      </w:pPr>
      <w:r>
        <w:t xml:space="preserve">At the end of the lesson, a short quiz was administered to assess student understanding. The results indicated that most students had grasped the key concepts. However, the teacher could benefit from using more varied assessment methods, such as exit tickets or self-assessment checklists, to gain a more comprehensive understanding of student learning. This aligns with the best practices recommended for</w:t>
      </w:r>
      <w:r>
        <w:t xml:space="preserve"> </w:t>
      </w:r>
      <w:r>
        <w:rPr>
          <w:bCs/>
          <w:b/>
        </w:rPr>
        <w:t xml:space="preserve">Teacher Secondary</w:t>
      </w:r>
      <w:r>
        <w:t xml:space="preserve"> </w:t>
      </w:r>
      <w:r>
        <w:t xml:space="preserve">educators in Uzbekistan.</w:t>
      </w:r>
    </w:p>
    <w:bookmarkStart w:id="26" w:name="overall-performance-rating"/>
    <w:p>
      <w:pPr>
        <w:pStyle w:val="Heading3"/>
      </w:pPr>
      <w:r>
        <w:t xml:space="preserve">Overall Performance Rating</w:t>
      </w:r>
    </w:p>
    <w:p>
      <w:pPr>
        <w:pStyle w:val="FirstParagraph"/>
      </w:pPr>
      <w:r>
        <w:rPr>
          <w:bCs/>
          <w:b/>
        </w:rPr>
        <w:t xml:space="preserve">Rating:</w:t>
      </w:r>
      <w:r>
        <w:t xml:space="preserve"> </w:t>
      </w:r>
      <w:r>
        <w:t xml:space="preserve">4.2 out of 5.0</w:t>
      </w:r>
    </w:p>
    <w:p>
      <w:pPr>
        <w:pStyle w:val="BodyText"/>
      </w:pPr>
      <w:r>
        <w:rPr>
          <w:bCs/>
          <w:b/>
        </w:rPr>
        <w:t xml:space="preserve">Category:</w:t>
      </w:r>
      <w:r>
        <w:t xml:space="preserve"> </w:t>
      </w:r>
      <w:r>
        <w:t xml:space="preserve">Proficient with Areas for Growth</w:t>
      </w:r>
    </w:p>
    <w:p>
      <w:pPr>
        <w:pStyle w:val="BodyText"/>
      </w:pPr>
      <w:r>
        <w:t xml:space="preserve">This rating reflects a high level of competence in teaching and classroom management, with specific opportunities for improvement in technology integration and differentiated instruction.</w:t>
      </w:r>
    </w:p>
    <w:bookmarkEnd w:id="26"/>
    <w:bookmarkEnd w:id="27"/>
    <w:bookmarkStart w:id="29" w:name="X2505c1a0023529382629b60d8e35fc2b9eaee81"/>
    <w:p>
      <w:pPr>
        <w:pStyle w:val="Heading2"/>
      </w:pPr>
      <w:r>
        <w:t xml:space="preserve">7. Recommendations for Professional Development</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Teacher Secondary</w:t>
      </w:r>
      <w:r>
        <w:t xml:space="preserve"> </w:t>
      </w:r>
      <w:r>
        <w:t xml:space="preserve">to further enhance their practice:</w:t>
      </w:r>
    </w:p>
    <w:p>
      <w:pPr>
        <w:numPr>
          <w:ilvl w:val="0"/>
          <w:numId w:val="1001"/>
        </w:numPr>
        <w:pStyle w:val="Compact"/>
      </w:pPr>
      <w:r>
        <w:rPr>
          <w:bCs/>
          <w:b/>
        </w:rPr>
        <w:t xml:space="preserve">Enhance Technology Integration:</w:t>
      </w:r>
      <w:r>
        <w:t xml:space="preserve"> </w:t>
      </w:r>
      <w:r>
        <w:t xml:space="preserve">Participate in professional development workshops on using digital tools and educational software in mathematics teaching. Explore platforms like Khan Academy or local Uzbek educational portals.</w:t>
      </w:r>
    </w:p>
    <w:p>
      <w:pPr>
        <w:numPr>
          <w:ilvl w:val="0"/>
          <w:numId w:val="1001"/>
        </w:numPr>
        <w:pStyle w:val="Compact"/>
      </w:pPr>
      <w:r>
        <w:rPr>
          <w:bCs/>
          <w:b/>
        </w:rPr>
        <w:t xml:space="preserve">Differentiated Instruction:</w:t>
      </w:r>
      <w:r>
        <w:t xml:space="preserve"> </w:t>
      </w:r>
      <w:r>
        <w:t xml:space="preserve">Develop strategies to better support students with varying learning needs. This could include creating tiered assignments or providing additional scaffolding for struggling students.</w:t>
      </w:r>
    </w:p>
    <w:p>
      <w:pPr>
        <w:numPr>
          <w:ilvl w:val="0"/>
          <w:numId w:val="1001"/>
        </w:numPr>
        <w:pStyle w:val="Compact"/>
      </w:pPr>
      <w:r>
        <w:rPr>
          <w:bCs/>
          <w:b/>
        </w:rPr>
        <w:t xml:space="preserve">Active Learning Strategies:</w:t>
      </w:r>
      <w:r>
        <w:t xml:space="preserve"> </w:t>
      </w:r>
      <w:r>
        <w:t xml:space="preserve">Incorporate more active learning techniques, such as project-based learning or inquiry-based learning, to increase student engagement and critical thinking skills.</w:t>
      </w:r>
    </w:p>
    <w:p>
      <w:pPr>
        <w:numPr>
          <w:ilvl w:val="0"/>
          <w:numId w:val="1001"/>
        </w:numPr>
        <w:pStyle w:val="Compact"/>
      </w:pPr>
      <w:r>
        <w:rPr>
          <w:bCs/>
          <w:b/>
        </w:rPr>
        <w:t xml:space="preserve">Peer Collaboration:</w:t>
      </w:r>
      <w:r>
        <w:t xml:space="preserve"> </w:t>
      </w:r>
      <w:r>
        <w:t xml:space="preserve">Engage in regular peer observation and collaboration with other teachers in</w:t>
      </w:r>
      <w:r>
        <w:t xml:space="preserve"> </w:t>
      </w:r>
      <w:r>
        <w:rPr>
          <w:bCs/>
          <w:b/>
        </w:rPr>
        <w:t xml:space="preserve">Uzbekistan Tashkent</w:t>
      </w:r>
      <w:r>
        <w:t xml:space="preserve"> </w:t>
      </w:r>
      <w:r>
        <w:t xml:space="preserve">to share best practices and innovative teaching ideas.</w:t>
      </w:r>
    </w:p>
    <w:bookmarkStart w:id="28" w:name="conclusion"/>
    <w:p>
      <w:pPr>
        <w:pStyle w:val="Heading3"/>
      </w:pPr>
      <w:r>
        <w:t xml:space="preserve">Conclusion</w:t>
      </w:r>
    </w:p>
    <w:p>
      <w:pPr>
        <w:pStyle w:val="FirstParagraph"/>
      </w:pPr>
      <w:r>
        <w:t xml:space="preserve">This</w:t>
      </w:r>
      <w:r>
        <w:t xml:space="preserve"> </w:t>
      </w:r>
      <w:r>
        <w:rPr>
          <w:bCs/>
          <w:b/>
        </w:rPr>
        <w:t xml:space="preserve">Peer Review Report</w:t>
      </w:r>
      <w:r>
        <w:t xml:space="preserve"> </w:t>
      </w:r>
      <w:r>
        <w:t xml:space="preserve">highlights the strengths and areas for improvement of a dedicated</w:t>
      </w:r>
      <w:r>
        <w:t xml:space="preserve"> </w:t>
      </w:r>
      <w:r>
        <w:rPr>
          <w:bCs/>
          <w:b/>
        </w:rPr>
        <w:t xml:space="preserve">Teacher Secondary</w:t>
      </w:r>
      <w:r>
        <w:t xml:space="preserve"> </w:t>
      </w:r>
      <w:r>
        <w:t xml:space="preserve">in</w:t>
      </w:r>
      <w:r>
        <w:t xml:space="preserve"> </w:t>
      </w:r>
      <w:r>
        <w:rPr>
          <w:bCs/>
          <w:b/>
        </w:rPr>
        <w:t xml:space="preserve">Uzbekistan Tashkent</w:t>
      </w:r>
      <w:r>
        <w:t xml:space="preserve">. The teacher demonstrates a strong commitment to student learning and professional excellence. By implementing the recommended strategies, particularly in the areas of technology integration and differentiated instruction, the teacher can further elevate their practice and contribute to the ongoing improvement of secondary education in Tashkent. Continuous professional development and a willingness to embrace new teaching methodologies are essential for success in the evolving educational landscape of Uzbekistan.</w:t>
      </w:r>
    </w:p>
    <w:bookmarkEnd w:id="28"/>
    <w:p>
      <w:pPr>
        <w:pStyle w:val="BodyText"/>
      </w:pPr>
      <w:r>
        <w:rPr>
          <w:bCs/>
          <w:b/>
        </w:rPr>
        <w:t xml:space="preserve">Reviewer Signature:</w:t>
      </w:r>
      <w:r>
        <w:br/>
      </w:r>
      <w:r>
        <w:t xml:space="preserve">Ms. L. Rahimova</w:t>
      </w:r>
      <w:r>
        <w:br/>
      </w:r>
      <w:r>
        <w:t xml:space="preserve">Senior Methodologist</w:t>
      </w:r>
    </w:p>
    <w:p>
      <w:pPr>
        <w:pStyle w:val="BodyText"/>
      </w:pPr>
      <w:r>
        <w:rPr>
          <w:bCs/>
          <w:b/>
        </w:rPr>
        <w:t xml:space="preserve">Teacher Signature:</w:t>
      </w:r>
      <w:r>
        <w:br/>
      </w:r>
      <w:r>
        <w:t xml:space="preserve">Mr. A. Karimov</w:t>
      </w:r>
      <w:r>
        <w:br/>
      </w:r>
      <w:r>
        <w:t xml:space="preserve">Secondary Teacher</w:t>
      </w:r>
    </w:p>
    <w:p>
      <w:pPr>
        <w:pStyle w:val="BodyText"/>
      </w:pPr>
      <w:r>
        <w:t xml:space="preserve">© 2023 Ministry of Public Education of the Republic of Uzbekistan - Tashkent Regional Department. All rights reserved.</w:t>
      </w:r>
    </w:p>
    <w:p>
      <w:pPr>
        <w:pStyle w:val="BodyText"/>
      </w:pPr>
      <w:r>
        <w:t xml:space="preserve">This document is confidential and intended for professional development purposes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Teacher - Tashkent, Uzbekistan</dc:title>
  <dc:creator/>
  <dc:language>en</dc:language>
  <cp:keywords/>
  <dcterms:created xsi:type="dcterms:W3CDTF">2026-10-10T02:44:50Z</dcterms:created>
  <dcterms:modified xsi:type="dcterms:W3CDTF">2026-10-10T02:44:50Z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