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t xml:space="preserve">Professional Competency Assessment for Telecommunication Engineer</w:t>
      </w:r>
    </w:p>
    <w:p>
      <w:pPr>
        <w:pStyle w:val="BodyText"/>
      </w:pPr>
      <w:r>
        <w:t xml:space="preserve">Location:</w:t>
      </w:r>
      <w:r>
        <w:t xml:space="preserve"> </w:t>
      </w:r>
      <w:r>
        <w:t xml:space="preserve">China Guangzhou</w:t>
      </w:r>
    </w:p>
    <w:p>
      <w:pPr>
        <w:pStyle w:val="BodyText"/>
      </w:pPr>
      <w:r>
        <w:t xml:space="preserve">Date:</w:t>
      </w:r>
      <w:r>
        <w:t xml:space="preserve"> </w:t>
      </w:r>
      <w:r>
        <w:t xml:space="preserve">October 24, 2023</w:t>
      </w:r>
    </w:p>
    <w:p>
      <w:pPr>
        <w:pStyle w:val="BodyText"/>
      </w:pPr>
      <w:r>
        <w:t xml:space="preserve">Report ID:</w:t>
      </w:r>
      <w:r>
        <w:t xml:space="preserve"> </w:t>
      </w:r>
      <w:r>
        <w:t xml:space="preserve">GZ-TE-2023-089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operational efficiency of a Telecommunication Engineer stationed within the China Guangzhou regional hub. Guangzhou, as a pivotal node in China's digital infrastructure and a global manufacturing center, demands a high standard of engineering excellence. This review assesses the engineer's ability to manage complex network architectures, ensure seamless connectivity for enterprise clients, and adhere to the rigorous regulatory standards set by the Ministry of Industry and Information Technology (MIIT).</w:t>
      </w:r>
    </w:p>
    <w:p>
      <w:pPr>
        <w:pStyle w:val="BodyText"/>
      </w:pPr>
      <w:r>
        <w:t xml:space="preserve">The assessment covers the period from January 2023 to September 2023. The primary objective is to validate the engineer's competency in 5G deployment, fiber optic network optimization, and cross-border data transmission protocols, which are critical for the economic vitality of the Greater Bay Area.</w:t>
      </w:r>
    </w:p>
    <w:bookmarkEnd w:id="21"/>
    <w:bookmarkStart w:id="25" w:name="technical-competency-assessment"/>
    <w:p>
      <w:pPr>
        <w:pStyle w:val="Heading2"/>
      </w:pPr>
      <w:r>
        <w:t xml:space="preserve">2. Technical Competency Assessment</w:t>
      </w:r>
    </w:p>
    <w:p>
      <w:pPr>
        <w:pStyle w:val="FirstParagraph"/>
      </w:pPr>
      <w:r>
        <w:t xml:space="preserve">The core of this Peer Review Report focuses on the technical proficiency required of a Telecommunication Engineer operating in a high-density urban environment like Guangzhou. The evaluation criteria are aligned with international engineering standards and local Chinese telecommunications regulations.</w:t>
      </w:r>
    </w:p>
    <w:bookmarkStart w:id="22" w:name="Xac3033304e7f6eaf7855be96209918548d6e76c"/>
    <w:p>
      <w:pPr>
        <w:pStyle w:val="Heading3"/>
      </w:pPr>
      <w:r>
        <w:t xml:space="preserve">2.1 Network Architecture and 5G Implementation</w:t>
      </w:r>
    </w:p>
    <w:p>
      <w:pPr>
        <w:pStyle w:val="FirstParagraph"/>
      </w:pPr>
      <w:r>
        <w:t xml:space="preserve">The subject has demonstrated exceptional skill in the design and implementation of 5G Non-Standalone (NSA) and Standalone (SA) networks. In the context of Guangzhou's rapid industrialization, the engineer successfully led the optimization of base station density in the Tianhe and Haizhu districts. This initiative reduced latency by 18% and increased throughput for IoT devices, directly supporting the city's "Smart City" initiatives. The ability to integrate legacy 4G LTE infrastructure with next-generation 5G core networks was executed with minimal service disruption, showcasing advanced troubleshooting and migration planning capabilities.</w:t>
      </w:r>
    </w:p>
    <w:bookmarkEnd w:id="22"/>
    <w:bookmarkStart w:id="23" w:name="fiber-optic-and-backhaul-optimization"/>
    <w:p>
      <w:pPr>
        <w:pStyle w:val="Heading3"/>
      </w:pPr>
      <w:r>
        <w:t xml:space="preserve">2.2 Fiber Optic and Backhaul Optimization</w:t>
      </w:r>
    </w:p>
    <w:p>
      <w:pPr>
        <w:pStyle w:val="FirstParagraph"/>
      </w:pPr>
      <w:r>
        <w:t xml:space="preserve">Given Guangzhou's status as a major logistics hub, the reliability of the backhaul network is paramount. The Telecommunication Engineer under review has shown strong competency in DWDM (Dense Wavelength Division Multiplexing) configuration and fiber optic path management. The engineer proactively identified bottlenecks in the metropolitan area network (MAN) and implemented dynamic bandwidth allocation strategies. This resulted in a 99.99% uptime record for critical enterprise clients, a metric that is highly valued in the competitive Guangzhou market.</w:t>
      </w:r>
    </w:p>
    <w:bookmarkEnd w:id="23"/>
    <w:bookmarkStart w:id="24" w:name="regulatory-compliance-and-security"/>
    <w:p>
      <w:pPr>
        <w:pStyle w:val="Heading3"/>
      </w:pPr>
      <w:r>
        <w:t xml:space="preserve">2.3 Regulatory Compliance and Security</w:t>
      </w:r>
    </w:p>
    <w:p>
      <w:pPr>
        <w:pStyle w:val="FirstParagraph"/>
      </w:pPr>
      <w:r>
        <w:t xml:space="preserve">Operating in China requires strict adherence to data sovereignty laws and cybersecurity regulations. The engineer has consistently ensured that all network configurations comply with the Cybersecurity Law of the People's Republic of China. Furthermore, the implementation of robust encryption protocols for cross-border data links ensures that the organization remains compliant while facilitating international business operations from the Guangzhou headquarters.</w:t>
      </w:r>
    </w:p>
    <w:bookmarkEnd w:id="24"/>
    <w:bookmarkEnd w:id="25"/>
    <w:bookmarkStart w:id="26" w:name="Xee105fa8b57dfd4cf2d0948bc3ba1d1f37cdbf0"/>
    <w:p>
      <w:pPr>
        <w:pStyle w:val="Heading2"/>
      </w:pPr>
      <w:r>
        <w:t xml:space="preserve">3. Operational Efficiency and Project Management</w:t>
      </w:r>
    </w:p>
    <w:p>
      <w:pPr>
        <w:pStyle w:val="FirstParagraph"/>
      </w:pPr>
      <w:r>
        <w:t xml:space="preserve">Beyond technical skills, this Peer Review Report evaluates the engineer's ability to manage projects within the fast-paced environment of Guangzhou. The subject has effectively coordinated with local vendors, municipal authorities, and internal stakeholders to accelerate deployment timelines.</w:t>
      </w:r>
    </w:p>
    <w:p>
      <w:pPr>
        <w:pStyle w:val="BodyText"/>
      </w:pPr>
      <w:r>
        <w:t xml:space="preserve">Notably, during the recent infrastructure upgrade in the Nansha Free Trade Zone, the engineer managed a multidisciplinary team to complete the project two weeks ahead of schedule. This efficiency was achieved through rigorous resource planning and effective risk mitigation strategies, demonstrating a high level of professional maturity.</w:t>
      </w:r>
    </w:p>
    <w:bookmarkEnd w:id="26"/>
    <w:bookmarkStart w:id="27" w:name="quantitative-performance-metrics"/>
    <w:p>
      <w:pPr>
        <w:pStyle w:val="Heading2"/>
      </w:pPr>
      <w:r>
        <w:t xml:space="preserve">4. Quantitative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 Category</w:t>
            </w:r>
          </w:p>
        </w:tc>
        <w:tc>
          <w:tcPr/>
          <w:p>
            <w:pPr>
              <w:pStyle w:val="Compact"/>
              <w:jc w:val="left"/>
            </w:pPr>
            <w:r>
              <w:t xml:space="preserve">Target</w:t>
            </w:r>
          </w:p>
        </w:tc>
        <w:tc>
          <w:tcPr/>
          <w:p>
            <w:pPr>
              <w:pStyle w:val="Compact"/>
              <w:jc w:val="left"/>
            </w:pPr>
            <w:r>
              <w:t xml:space="preserve">Achieved</w:t>
            </w:r>
          </w:p>
        </w:tc>
        <w:tc>
          <w:tcPr/>
          <w:p>
            <w:pPr>
              <w:pStyle w:val="Compact"/>
              <w:jc w:val="left"/>
            </w:pPr>
            <w:r>
              <w:t xml:space="preserve">Rating</w:t>
            </w:r>
          </w:p>
        </w:tc>
      </w:tr>
      <w:tr>
        <w:tc>
          <w:tcPr/>
          <w:p>
            <w:pPr>
              <w:pStyle w:val="Compact"/>
              <w:jc w:val="left"/>
            </w:pPr>
            <w:r>
              <w:t xml:space="preserve">Network Uptime (SLA)</w:t>
            </w:r>
          </w:p>
        </w:tc>
        <w:tc>
          <w:tcPr/>
          <w:p>
            <w:pPr>
              <w:pStyle w:val="Compact"/>
              <w:jc w:val="left"/>
            </w:pPr>
            <w:r>
              <w:t xml:space="preserve">99.9%</w:t>
            </w:r>
          </w:p>
        </w:tc>
        <w:tc>
          <w:tcPr/>
          <w:p>
            <w:pPr>
              <w:pStyle w:val="Compact"/>
              <w:jc w:val="left"/>
            </w:pPr>
            <w:r>
              <w:t xml:space="preserve">99.99%</w:t>
            </w:r>
          </w:p>
        </w:tc>
        <w:tc>
          <w:tcPr/>
          <w:p>
            <w:pPr>
              <w:pStyle w:val="Compact"/>
              <w:jc w:val="left"/>
            </w:pPr>
            <w:r>
              <w:t xml:space="preserve">Exceeds Expectations</w:t>
            </w:r>
          </w:p>
        </w:tc>
      </w:tr>
      <w:tr>
        <w:tc>
          <w:tcPr/>
          <w:p>
            <w:pPr>
              <w:pStyle w:val="Compact"/>
              <w:jc w:val="left"/>
            </w:pPr>
            <w:r>
              <w:t xml:space="preserve">Incident Resolution Time</w:t>
            </w:r>
          </w:p>
        </w:tc>
        <w:tc>
          <w:tcPr/>
          <w:p>
            <w:pPr>
              <w:pStyle w:val="Compact"/>
              <w:jc w:val="left"/>
            </w:pPr>
            <w:r>
              <w:t xml:space="preserve">&lt; 4 Hours</w:t>
            </w:r>
          </w:p>
        </w:tc>
        <w:tc>
          <w:tcPr/>
          <w:p>
            <w:pPr>
              <w:pStyle w:val="Compact"/>
              <w:jc w:val="left"/>
            </w:pPr>
            <w:r>
              <w:t xml:space="preserve">3.2 Hours</w:t>
            </w:r>
          </w:p>
        </w:tc>
        <w:tc>
          <w:tcPr/>
          <w:p>
            <w:pPr>
              <w:pStyle w:val="Compact"/>
              <w:jc w:val="left"/>
            </w:pPr>
            <w:r>
              <w:t xml:space="preserve">Exceeds Expectations</w:t>
            </w:r>
          </w:p>
        </w:tc>
      </w:tr>
      <w:tr>
        <w:tc>
          <w:tcPr/>
          <w:p>
            <w:pPr>
              <w:pStyle w:val="Compact"/>
              <w:jc w:val="left"/>
            </w:pPr>
            <w:r>
              <w:t xml:space="preserve">5G Coverage Expansion</w:t>
            </w:r>
          </w:p>
        </w:tc>
        <w:tc>
          <w:tcPr/>
          <w:p>
            <w:pPr>
              <w:pStyle w:val="Compact"/>
              <w:jc w:val="left"/>
            </w:pPr>
            <w:r>
              <w:t xml:space="preserve">15 New Sites</w:t>
            </w:r>
          </w:p>
        </w:tc>
        <w:tc>
          <w:tcPr/>
          <w:p>
            <w:pPr>
              <w:pStyle w:val="Compact"/>
              <w:jc w:val="left"/>
            </w:pPr>
            <w:r>
              <w:t xml:space="preserve">18 New Sites</w:t>
            </w:r>
          </w:p>
        </w:tc>
        <w:tc>
          <w:tcPr/>
          <w:p>
            <w:pPr>
              <w:pStyle w:val="Compact"/>
              <w:jc w:val="left"/>
            </w:pPr>
            <w:r>
              <w:t xml:space="preserve">Exceeds Expectations</w:t>
            </w:r>
          </w:p>
        </w:tc>
      </w:tr>
      <w:tr>
        <w:tc>
          <w:tcPr/>
          <w:p>
            <w:pPr>
              <w:pStyle w:val="Compact"/>
              <w:jc w:val="left"/>
            </w:pPr>
            <w:r>
              <w:t xml:space="preserve">Regulatory Compliance Audits</w:t>
            </w:r>
          </w:p>
        </w:tc>
        <w:tc>
          <w:tcPr/>
          <w:p>
            <w:pPr>
              <w:pStyle w:val="Compact"/>
              <w:jc w:val="left"/>
            </w:pPr>
            <w:r>
              <w:t xml:space="preserve">0 Non-Conformities</w:t>
            </w:r>
          </w:p>
        </w:tc>
        <w:tc>
          <w:tcPr/>
          <w:p>
            <w:pPr>
              <w:pStyle w:val="Compact"/>
              <w:jc w:val="left"/>
            </w:pPr>
            <w:r>
              <w:t xml:space="preserve">0 Non-Conformities</w:t>
            </w:r>
          </w:p>
        </w:tc>
        <w:tc>
          <w:tcPr/>
          <w:p>
            <w:pPr>
              <w:pStyle w:val="Compact"/>
              <w:jc w:val="left"/>
            </w:pPr>
            <w:r>
              <w:t xml:space="preserve">Meets Expectations</w:t>
            </w:r>
          </w:p>
        </w:tc>
      </w:tr>
      <w:tr>
        <w:tc>
          <w:tcPr/>
          <w:p>
            <w:pPr>
              <w:pStyle w:val="Compact"/>
              <w:jc w:val="left"/>
            </w:pPr>
            <w:r>
              <w:t xml:space="preserve">Cost Optimization</w:t>
            </w:r>
          </w:p>
        </w:tc>
        <w:tc>
          <w:tcPr/>
          <w:p>
            <w:pPr>
              <w:pStyle w:val="Compact"/>
              <w:jc w:val="left"/>
            </w:pPr>
            <w:r>
              <w:t xml:space="preserve">5% Reduction</w:t>
            </w:r>
          </w:p>
        </w:tc>
        <w:tc>
          <w:tcPr/>
          <w:p>
            <w:pPr>
              <w:pStyle w:val="Compact"/>
              <w:jc w:val="left"/>
            </w:pPr>
            <w:r>
              <w:t xml:space="preserve">3% Reduction</w:t>
            </w:r>
          </w:p>
        </w:tc>
        <w:tc>
          <w:tcPr/>
          <w:p>
            <w:pPr>
              <w:pStyle w:val="Compact"/>
              <w:jc w:val="left"/>
            </w:pPr>
            <w:r>
              <w:t xml:space="preserve">Needs Improvement</w:t>
            </w:r>
          </w:p>
        </w:tc>
      </w:tr>
    </w:tbl>
    <w:bookmarkEnd w:id="27"/>
    <w:bookmarkStart w:id="28" w:name="areas-for-development"/>
    <w:p>
      <w:pPr>
        <w:pStyle w:val="Heading2"/>
      </w:pPr>
      <w:r>
        <w:t xml:space="preserve">5. Areas for Development</w:t>
      </w:r>
    </w:p>
    <w:p>
      <w:pPr>
        <w:pStyle w:val="FirstParagraph"/>
      </w:pPr>
      <w:r>
        <w:t xml:space="preserve">While the Telecommunication Engineer has performed admirably, this Peer Review Report identifies specific areas for growth to align with the evolving technological landscape in China Guangzhou.</w:t>
      </w:r>
    </w:p>
    <w:p>
      <w:pPr>
        <w:numPr>
          <w:ilvl w:val="0"/>
          <w:numId w:val="1001"/>
        </w:numPr>
        <w:pStyle w:val="Compact"/>
      </w:pPr>
      <w:r>
        <w:rPr>
          <w:bCs/>
          <w:b/>
        </w:rPr>
        <w:t xml:space="preserve">Cost Management:</w:t>
      </w:r>
      <w:r>
        <w:t xml:space="preserve"> </w:t>
      </w:r>
      <w:r>
        <w:t xml:space="preserve">While technical performance is high, there is room for improvement in optimizing operational expenditures (OpEx) related to energy consumption for base stations. Adopting more aggressive green energy protocols could enhance sustainability goals.</w:t>
      </w:r>
    </w:p>
    <w:p>
      <w:pPr>
        <w:numPr>
          <w:ilvl w:val="0"/>
          <w:numId w:val="1001"/>
        </w:numPr>
        <w:pStyle w:val="Compact"/>
      </w:pPr>
      <w:r>
        <w:rPr>
          <w:bCs/>
          <w:b/>
        </w:rPr>
        <w:t xml:space="preserve">AI-Driven Network Operations:</w:t>
      </w:r>
      <w:r>
        <w:t xml:space="preserve"> </w:t>
      </w:r>
      <w:r>
        <w:t xml:space="preserve">The engineer is encouraged to deepen their expertise in AI-driven network automation (AIOps). As Guangzhou moves towards fully autonomous network management, proficiency in machine learning algorithms for predictive maintenance will be essential.</w:t>
      </w:r>
    </w:p>
    <w:bookmarkEnd w:id="28"/>
    <w:bookmarkStart w:id="29" w:name="conclusion-and-recommendation"/>
    <w:p>
      <w:pPr>
        <w:pStyle w:val="Heading2"/>
      </w:pPr>
      <w:r>
        <w:t xml:space="preserve">6. Conclusion and Recommendation</w:t>
      </w:r>
    </w:p>
    <w:p>
      <w:pPr>
        <w:pStyle w:val="FirstParagraph"/>
      </w:pPr>
      <w:r>
        <w:t xml:space="preserve">In conclusion, this Peer Review Report affirms that the Telecommunication Engineer is a vital asset to the organization's operations in China Guangzhou. Their technical expertise in 5G and fiber optics, combined with a strong understanding of local regulatory frameworks, ensures the reliability and security of our communication infrastructure.</w:t>
      </w:r>
    </w:p>
    <w:p>
      <w:pPr>
        <w:pStyle w:val="BodyText"/>
      </w:pPr>
      <w:r>
        <w:rPr>
          <w:bCs/>
          <w:b/>
        </w:rPr>
        <w:t xml:space="preserve">Recommendation:</w:t>
      </w:r>
      <w:r>
        <w:t xml:space="preserve"> </w:t>
      </w:r>
      <w:r>
        <w:t xml:space="preserve">The engineer is recommended for promotion to Senior Telecommunication Engineer, with a focus on leading the upcoming 6G research pilot projects in the Greater Bay Area. Continued professional development in AI and cost optimization is advised.</w:t>
      </w:r>
    </w:p>
    <w:bookmarkEnd w:id="29"/>
    <w:p>
      <w:pPr>
        <w:pStyle w:val="BodyText"/>
      </w:pPr>
      <w:r>
        <w:rPr>
          <w:bCs/>
          <w:b/>
        </w:rPr>
        <w:t xml:space="preserve">Reviewed By:</w:t>
      </w:r>
    </w:p>
    <w:p>
      <w:pPr>
        <w:pStyle w:val="BodyText"/>
      </w:pPr>
      <w:r>
        <w:t xml:space="preserve">Dr. Li Wei</w:t>
      </w:r>
    </w:p>
    <w:p>
      <w:pPr>
        <w:pStyle w:val="BodyText"/>
      </w:pPr>
      <w:r>
        <w:t xml:space="preserve">Chief Technology Officer</w:t>
      </w:r>
    </w:p>
    <w:p>
      <w:pPr>
        <w:pStyle w:val="BodyText"/>
      </w:pPr>
      <w:r>
        <w:t xml:space="preserve">Guangzhou Regional Office</w:t>
      </w:r>
    </w:p>
    <w:p>
      <w:pPr>
        <w:pStyle w:val="BodyText"/>
      </w:pPr>
      <w:r>
        <w:rPr>
          <w:bCs/>
          <w:b/>
        </w:rPr>
        <w:t xml:space="preserve">Reviewed By:</w:t>
      </w:r>
    </w:p>
    <w:p>
      <w:pPr>
        <w:pStyle w:val="BodyText"/>
      </w:pPr>
      <w:r>
        <w:t xml:space="preserve">Sarah Chen</w:t>
      </w:r>
    </w:p>
    <w:p>
      <w:pPr>
        <w:pStyle w:val="BodyText"/>
      </w:pPr>
      <w:r>
        <w:t xml:space="preserve">Senior Network Architect</w:t>
      </w:r>
    </w:p>
    <w:p>
      <w:pPr>
        <w:pStyle w:val="BodyText"/>
      </w:pPr>
      <w:r>
        <w:t xml:space="preserve">Guangzhou Regional Office</w:t>
      </w:r>
    </w:p>
    <w:p>
      <w:pPr>
        <w:pStyle w:val="BodyText"/>
      </w:pPr>
      <w:r>
        <w:t xml:space="preserve">© 2023 Telecommunications Infrastructure Group.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Guangzhou, China</dc:title>
  <dc:creator/>
  <dc:language>en</dc:language>
  <cp:keywords/>
  <dcterms:created xsi:type="dcterms:W3CDTF">2026-10-10T07:36:19Z</dcterms:created>
  <dcterms:modified xsi:type="dcterms:W3CDTF">2026-10-10T07:36:19Z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