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efficiency of a Telecommunication Engineer operating within the dynamic telecommunications landscape of Tehran, Iran. The review focuses on the engineer's ability to navigate the specific regulatory, infrastructural, and technological challenges present in the capital region. The assessment concludes that the subject demonstrates a high level of proficiency in network architecture, signal optimization, and compliance with the Iranian Telecommunication Research Center (ITRC) standards.</w:t>
      </w:r>
    </w:p>
    <w:bookmarkEnd w:id="21"/>
    <w:bookmarkStart w:id="22" w:name="X27d81aef9e0813d9296d7589425bd16481f6cd3"/>
    <w:p>
      <w:pPr>
        <w:pStyle w:val="Heading2"/>
      </w:pPr>
      <w:r>
        <w:t xml:space="preserve">2. Contextual Analysis: The Tehran Environment</w:t>
      </w:r>
    </w:p>
    <w:p>
      <w:pPr>
        <w:pStyle w:val="FirstParagraph"/>
      </w:pPr>
      <w:r>
        <w:t xml:space="preserve">To accurately assess a Telecommunication Engineer in this region, one must consider the unique environment of Tehran. As the political and economic hub of Iran, Tehran presents a dense urban topology with significant electromagnetic interference and high user density. The engineer is required to manage complex network loads while adhering to strict national regulations regarding spectrum usage and data sovereignty.</w:t>
      </w:r>
    </w:p>
    <w:p>
      <w:pPr>
        <w:pStyle w:val="BodyText"/>
      </w:pPr>
      <w:r>
        <w:t xml:space="preserve">Furthermore, the geographical diversity surrounding Tehran, ranging from the Alborz mountain ranges to the arid plains, necessitates robust microwave link planning and fiber optic deployment strategies. The engineer’s work is critical in ensuring connectivity not only within the metropolitan area but also in bridging the digital divide for surrounding provinces. This report evaluates how effectively the engineer addresses these localized challenges.</w:t>
      </w:r>
    </w:p>
    <w:bookmarkEnd w:id="22"/>
    <w:bookmarkStart w:id="23" w:name="Xf02df9098d9778b2b9c2574d0e2b473dac42949"/>
    <w:p>
      <w:pPr>
        <w:pStyle w:val="Heading2"/>
      </w:pPr>
      <w:r>
        <w:t xml:space="preserve">3. Technical Competency and Network Architecture</w:t>
      </w:r>
    </w:p>
    <w:p>
      <w:pPr>
        <w:pStyle w:val="FirstParagraph"/>
      </w:pPr>
      <w:r>
        <w:t xml:space="preserve">The core of this review examines the engineer's technical capabilities. The subject has demonstrated exceptional skill in the design and maintenance of 4G LTE and emerging 5G infrastructure. In the context of Tehran, where legacy systems often coexist with modern deployments, the engineer’s ability to manage interoperability is paramount.</w:t>
      </w:r>
    </w:p>
    <w:p>
      <w:pPr>
        <w:pStyle w:val="BodyText"/>
      </w:pPr>
      <w:r>
        <w:t xml:space="preserve">Specific areas of strength include:</w:t>
      </w:r>
    </w:p>
    <w:p>
      <w:pPr>
        <w:numPr>
          <w:ilvl w:val="0"/>
          <w:numId w:val="1001"/>
        </w:numPr>
        <w:pStyle w:val="Compact"/>
      </w:pPr>
      <w:r>
        <w:rPr>
          <w:bCs/>
          <w:b/>
        </w:rPr>
        <w:t xml:space="preserve">RF Planning and Optimization:</w:t>
      </w:r>
      <w:r>
        <w:t xml:space="preserve"> </w:t>
      </w:r>
      <w:r>
        <w:t xml:space="preserve">The engineer has successfully implemented advanced RF planning tools to mitigate interference in high-density districts such as Valiasr and Enghelab. Their approach to antenna tilt adjustments and power control has resulted in measurable improvements in Signal-to-Interference-plus-Noise Ratio (SINR).</w:t>
      </w:r>
    </w:p>
    <w:p>
      <w:pPr>
        <w:numPr>
          <w:ilvl w:val="0"/>
          <w:numId w:val="1001"/>
        </w:numPr>
        <w:pStyle w:val="Compact"/>
      </w:pPr>
      <w:r>
        <w:rPr>
          <w:bCs/>
          <w:b/>
        </w:rPr>
        <w:t xml:space="preserve">Fiber Optic Infrastructure:</w:t>
      </w:r>
      <w:r>
        <w:t xml:space="preserve"> </w:t>
      </w:r>
      <w:r>
        <w:t xml:space="preserve">Given the push for fiber-to-the-home (FTTH) in Tehran, the engineer has shown proficiency in GPON architecture. Their oversight of dark fiber deployment projects has ensured minimal latency and high bandwidth availability for residential and commercial sectors.</w:t>
      </w:r>
    </w:p>
    <w:p>
      <w:pPr>
        <w:numPr>
          <w:ilvl w:val="0"/>
          <w:numId w:val="1001"/>
        </w:numPr>
        <w:pStyle w:val="Compact"/>
      </w:pPr>
      <w:r>
        <w:rPr>
          <w:bCs/>
          <w:b/>
        </w:rPr>
        <w:t xml:space="preserve">Core Network Management:</w:t>
      </w:r>
      <w:r>
        <w:t xml:space="preserve"> </w:t>
      </w:r>
      <w:r>
        <w:t xml:space="preserve">The engineer exhibits a deep understanding of the Evolved Packet Core (EPC). Their configuration of mobility management entities (MME) and serving gateways (SGW) aligns with international best practices while respecting local network isolation requirements.</w:t>
      </w:r>
    </w:p>
    <w:bookmarkEnd w:id="23"/>
    <w:bookmarkStart w:id="24" w:name="regulatory-compliance-and-standards"/>
    <w:p>
      <w:pPr>
        <w:pStyle w:val="Heading2"/>
      </w:pPr>
      <w:r>
        <w:t xml:space="preserve">4. Regulatory Compliance and Standards</w:t>
      </w:r>
    </w:p>
    <w:p>
      <w:pPr>
        <w:pStyle w:val="FirstParagraph"/>
      </w:pPr>
      <w:r>
        <w:t xml:space="preserve">Operating in Iran requires strict adherence to the regulations set forth by the Ministry of Information and Communications Technology (ICT) and the ITRC. This Peer Review Report confirms that the Telecommunication Engineer maintains full compliance with these bodies.</w:t>
      </w:r>
    </w:p>
    <w:p>
      <w:pPr>
        <w:pStyle w:val="BodyText"/>
      </w:pPr>
      <w:r>
        <w:t xml:space="preserve">The engineer is well-versed in the technical standards for equipment type approval and spectrum allocation. They have successfully navigated the certification processes for importing and deploying telecommunications hardware, ensuring that all equipment meets the necessary safety and performance criteria mandated by Iranian law. This regulatory diligence is crucial for avoiding operational disruptions and legal penalties.</w:t>
      </w:r>
    </w:p>
    <w:bookmarkEnd w:id="24"/>
    <w:bookmarkStart w:id="25" w:name="problem-solving-and-crisis-management"/>
    <w:p>
      <w:pPr>
        <w:pStyle w:val="Heading2"/>
      </w:pPr>
      <w:r>
        <w:t xml:space="preserve">5. Problem Solving and Crisis Management</w:t>
      </w:r>
    </w:p>
    <w:p>
      <w:pPr>
        <w:pStyle w:val="FirstParagraph"/>
      </w:pPr>
      <w:r>
        <w:t xml:space="preserve">The telecommunications sector in Tehran is subject to various stressors, including power grid fluctuations and extreme weather conditions. This review highlights the engineer’s proactive approach to network resilience.</w:t>
      </w:r>
    </w:p>
    <w:p>
      <w:pPr>
        <w:pStyle w:val="BodyText"/>
      </w:pPr>
      <w:r>
        <w:t xml:space="preserve">During recent periods of high network congestion, the engineer implemented dynamic traffic management solutions that prioritized critical services. Additionally, their design of backup power systems for base stations has significantly reduced downtime during electrical outages. The engineer’s ability to troubleshoot complex hardware and software issues under pressure is a defining characteristic of their professional profile.</w:t>
      </w:r>
    </w:p>
    <w:bookmarkEnd w:id="25"/>
    <w:bookmarkStart w:id="26" w:name="collaboration-and-professional-ethics"/>
    <w:p>
      <w:pPr>
        <w:pStyle w:val="Heading2"/>
      </w:pPr>
      <w:r>
        <w:t xml:space="preserve">6. Collaboration and Professional Ethics</w:t>
      </w:r>
    </w:p>
    <w:p>
      <w:pPr>
        <w:pStyle w:val="FirstParagraph"/>
      </w:pPr>
      <w:r>
        <w:t xml:space="preserve">Beyond technical skills, this Peer Review Report assesses the engineer’s collaborative abilities. Telecommunications projects in Iran often involve multidisciplinary teams, including civil engineers, software developers, and government officials. The subject has demonstrated strong communication skills, effectively bridging the gap between technical teams and non-technical stakeholders.</w:t>
      </w:r>
    </w:p>
    <w:p>
      <w:pPr>
        <w:pStyle w:val="BodyText"/>
      </w:pPr>
      <w:r>
        <w:t xml:space="preserve">The engineer adheres to high ethical standards, ensuring the confidentiality of network data and user privacy. Their commitment to professional development is evident through their continuous engagement with industry literature and local technical forums in Tehran.</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made:</w:t>
      </w:r>
    </w:p>
    <w:p>
      <w:pPr>
        <w:numPr>
          <w:ilvl w:val="0"/>
          <w:numId w:val="1002"/>
        </w:numPr>
        <w:pStyle w:val="Compact"/>
      </w:pPr>
      <w:r>
        <w:t xml:space="preserve">Encourage the engineer to lead training sessions on 5G NR (New Radio) implementation for junior staff.</w:t>
      </w:r>
    </w:p>
    <w:p>
      <w:pPr>
        <w:numPr>
          <w:ilvl w:val="0"/>
          <w:numId w:val="1002"/>
        </w:numPr>
        <w:pStyle w:val="Compact"/>
      </w:pPr>
      <w:r>
        <w:t xml:space="preserve">Support their involvement in standardization committees within the Iranian Telecommunication Society.</w:t>
      </w:r>
    </w:p>
    <w:p>
      <w:pPr>
        <w:numPr>
          <w:ilvl w:val="0"/>
          <w:numId w:val="1002"/>
        </w:numPr>
        <w:pStyle w:val="Compact"/>
      </w:pPr>
      <w:r>
        <w:t xml:space="preserve">Allocate resources for the engineer to explore AI-driven network optimization tools to further enhance efficiency in Tehran’s dense urban environment.</w:t>
      </w:r>
    </w:p>
    <w:bookmarkEnd w:id="27"/>
    <w:bookmarkStart w:id="28" w:name="conclusion"/>
    <w:p>
      <w:pPr>
        <w:pStyle w:val="Heading2"/>
      </w:pPr>
      <w:r>
        <w:t xml:space="preserve">8. Conclusion</w:t>
      </w:r>
    </w:p>
    <w:p>
      <w:pPr>
        <w:pStyle w:val="FirstParagraph"/>
      </w:pPr>
      <w:r>
        <w:t xml:space="preserve">In conclusion, this Peer Review Report affirms that the Telecommunication Engineer in question is a highly competent professional who plays a vital role in the advancement of Iran’s telecommunications infrastructure. Their technical expertise, combined with a thorough understanding of the local regulatory and environmental context of Tehran, makes them an invaluable asset to the industry. The engineer’s contributions are instrumental in ensuring reliable, high-speed connectivity for the citizens and businesses of the region.</w:t>
      </w:r>
    </w:p>
    <w:bookmarkEnd w:id="28"/>
    <w:p>
      <w:pPr>
        <w:pStyle w:val="BodyText"/>
      </w:pPr>
      <w:r>
        <w:rPr>
          <w:bCs/>
          <w:b/>
        </w:rPr>
        <w:t xml:space="preserve">Reviewed By:</w:t>
      </w:r>
      <w:r>
        <w:t xml:space="preserve"> </w:t>
      </w:r>
      <w:r>
        <w:t xml:space="preserve">Senior Technical Committee</w:t>
      </w:r>
    </w:p>
    <w:p>
      <w:pPr>
        <w:pStyle w:val="BodyText"/>
      </w:pPr>
      <w:r>
        <w:rPr>
          <w:bCs/>
          <w:b/>
        </w:rPr>
        <w:t xml:space="preserve">Affiliation:</w:t>
      </w:r>
      <w:r>
        <w:t xml:space="preserve"> </w:t>
      </w:r>
      <w:r>
        <w:t xml:space="preserve">Tehran Telecommunications Association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Tehran, Iran</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