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Telecommunication Engineer</w:t>
      </w:r>
    </w:p>
    <w:p>
      <w:pPr>
        <w:pStyle w:val="BodyText"/>
      </w:pPr>
      <w:r>
        <w:rPr>
          <w:bCs/>
          <w:b/>
        </w:rPr>
        <w:t xml:space="preserve">Location:</w:t>
      </w:r>
      <w:r>
        <w:t xml:space="preserve"> </w:t>
      </w:r>
      <w:r>
        <w:t xml:space="preserve">Malaysia Kuala Lumpur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project contributions of a Telecommunication Engineer operating within the dynamic telecommunications landscape of Malaysia Kuala Lumpur. The review aims to provide a comprehensive assessment of the engineer's performance, adherence to industry standards, and alignment with the strategic goals of the organization.</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telecommunications systems and technologies.</w:t>
      </w:r>
    </w:p>
    <w:p>
      <w:pPr>
        <w:numPr>
          <w:ilvl w:val="0"/>
          <w:numId w:val="1001"/>
        </w:numPr>
        <w:pStyle w:val="Compact"/>
      </w:pPr>
      <w:r>
        <w:t xml:space="preserve">Project management and execution capabilities.</w:t>
      </w:r>
    </w:p>
    <w:p>
      <w:pPr>
        <w:numPr>
          <w:ilvl w:val="0"/>
          <w:numId w:val="1001"/>
        </w:numPr>
        <w:pStyle w:val="Compact"/>
      </w:pPr>
      <w:r>
        <w:t xml:space="preserve">Compliance with regulatory standards in Malaysia Kuala Lumpur.</w:t>
      </w:r>
    </w:p>
    <w:p>
      <w:pPr>
        <w:numPr>
          <w:ilvl w:val="0"/>
          <w:numId w:val="1001"/>
        </w:numPr>
        <w:pStyle w:val="Compact"/>
      </w:pPr>
      <w:r>
        <w:t xml:space="preserve">Collaboration and communication skills within multidisciplinary teams.</w:t>
      </w:r>
    </w:p>
    <w:p>
      <w:pPr>
        <w:numPr>
          <w:ilvl w:val="0"/>
          <w:numId w:val="1001"/>
        </w:numPr>
        <w:pStyle w:val="Compact"/>
      </w:pPr>
      <w:r>
        <w:t xml:space="preserve">Innovation and problem-solving abilities.</w:t>
      </w:r>
    </w:p>
    <w:bookmarkEnd w:id="22"/>
    <w:bookmarkStart w:id="23" w:name="technical-proficiency"/>
    <w:p>
      <w:pPr>
        <w:pStyle w:val="Heading2"/>
      </w:pPr>
      <w:r>
        <w:t xml:space="preserve">3. Technical Proficiency</w:t>
      </w:r>
    </w:p>
    <w:p>
      <w:pPr>
        <w:pStyle w:val="FirstParagraph"/>
      </w:pPr>
      <w:r>
        <w:t xml:space="preserve">The Telecommunication Engineer demonstrated a high level of technical proficiency in designing, implementing, and maintaining telecommunications networks. Key areas of expertise include:</w:t>
      </w:r>
    </w:p>
    <w:p>
      <w:pPr>
        <w:numPr>
          <w:ilvl w:val="0"/>
          <w:numId w:val="1002"/>
        </w:numPr>
        <w:pStyle w:val="Compact"/>
      </w:pPr>
      <w:r>
        <w:rPr>
          <w:bCs/>
          <w:b/>
        </w:rPr>
        <w:t xml:space="preserve">Network Architecture:</w:t>
      </w:r>
      <w:r>
        <w:t xml:space="preserve"> </w:t>
      </w:r>
      <w:r>
        <w:t xml:space="preserve">The engineer successfully designed and optimized network architectures for 4G LTE and 5G deployments in Malaysia Kuala Lumpur, ensuring high availability and scalability.</w:t>
      </w:r>
    </w:p>
    <w:p>
      <w:pPr>
        <w:numPr>
          <w:ilvl w:val="0"/>
          <w:numId w:val="1002"/>
        </w:numPr>
        <w:pStyle w:val="Compact"/>
      </w:pPr>
      <w:r>
        <w:rPr>
          <w:bCs/>
          <w:b/>
        </w:rPr>
        <w:t xml:space="preserve">Signal Processing:</w:t>
      </w:r>
      <w:r>
        <w:t xml:space="preserve"> </w:t>
      </w:r>
      <w:r>
        <w:t xml:space="preserve">Advanced knowledge of signal processing techniques was applied to enhance network performance and reduce latency.</w:t>
      </w:r>
    </w:p>
    <w:p>
      <w:pPr>
        <w:numPr>
          <w:ilvl w:val="0"/>
          <w:numId w:val="1002"/>
        </w:numPr>
        <w:pStyle w:val="Compact"/>
      </w:pPr>
      <w:r>
        <w:rPr>
          <w:bCs/>
          <w:b/>
        </w:rPr>
        <w:t xml:space="preserve">Equipment Integration:</w:t>
      </w:r>
      <w:r>
        <w:t xml:space="preserve"> </w:t>
      </w:r>
      <w:r>
        <w:t xml:space="preserve">Seamless integration of hardware and software components from leading vendors was achieved, aligning with industry best practices.</w:t>
      </w:r>
    </w:p>
    <w:bookmarkEnd w:id="23"/>
    <w:bookmarkStart w:id="24" w:name="project-management-and-execution"/>
    <w:p>
      <w:pPr>
        <w:pStyle w:val="Heading2"/>
      </w:pPr>
      <w:r>
        <w:t xml:space="preserve">4. Project Management and Execution</w:t>
      </w:r>
    </w:p>
    <w:p>
      <w:pPr>
        <w:pStyle w:val="FirstParagraph"/>
      </w:pPr>
      <w:r>
        <w:t xml:space="preserve">The engineer exhibited strong project management skills, effectively leading teams to deliver projects on time and within budget. Notable achievements include:</w:t>
      </w:r>
    </w:p>
    <w:p>
      <w:pPr>
        <w:numPr>
          <w:ilvl w:val="0"/>
          <w:numId w:val="1003"/>
        </w:numPr>
        <w:pStyle w:val="Compact"/>
      </w:pPr>
      <w:r>
        <w:t xml:space="preserve">Successful completion of a major fiber optic network expansion project in Malaysia Kuala Lumpur, improving connectivity for over 100,000 users.</w:t>
      </w:r>
    </w:p>
    <w:p>
      <w:pPr>
        <w:numPr>
          <w:ilvl w:val="0"/>
          <w:numId w:val="1003"/>
        </w:numPr>
        <w:pStyle w:val="Compact"/>
      </w:pPr>
      <w:r>
        <w:t xml:space="preserve">Implementation of robust risk management strategies to mitigate potential disruptions during network upgrades.</w:t>
      </w:r>
    </w:p>
    <w:p>
      <w:pPr>
        <w:numPr>
          <w:ilvl w:val="0"/>
          <w:numId w:val="1003"/>
        </w:numPr>
        <w:pStyle w:val="Compact"/>
      </w:pPr>
      <w:r>
        <w:t xml:space="preserve">Effective coordination with stakeholders, including government agencies and private sector partners, to ensure project alignment with regulatory requirements.</w:t>
      </w:r>
    </w:p>
    <w:bookmarkEnd w:id="24"/>
    <w:bookmarkStart w:id="25" w:name="regulatory-compliance"/>
    <w:p>
      <w:pPr>
        <w:pStyle w:val="Heading2"/>
      </w:pPr>
      <w:r>
        <w:t xml:space="preserve">5. Regulatory Compliance</w:t>
      </w:r>
    </w:p>
    <w:p>
      <w:pPr>
        <w:pStyle w:val="FirstParagraph"/>
      </w:pPr>
      <w:r>
        <w:t xml:space="preserve">Adherence to regulatory standards is critical in the telecommunications industry, particularly in Malaysia Kuala Lumpur. The engineer demonstrated a thorough understanding of local regulations, including:</w:t>
      </w:r>
    </w:p>
    <w:p>
      <w:pPr>
        <w:numPr>
          <w:ilvl w:val="0"/>
          <w:numId w:val="1004"/>
        </w:numPr>
        <w:pStyle w:val="Compact"/>
      </w:pPr>
      <w:r>
        <w:t xml:space="preserve">Compliance with the Malaysian Communications and Multimedia Commission (MCMC) guidelines.</w:t>
      </w:r>
    </w:p>
    <w:p>
      <w:pPr>
        <w:numPr>
          <w:ilvl w:val="0"/>
          <w:numId w:val="1004"/>
        </w:numPr>
        <w:pStyle w:val="Compact"/>
      </w:pPr>
      <w:r>
        <w:t xml:space="preserve">Implementation of data protection measures in accordance with the Personal Data Protection Act (PDPA).</w:t>
      </w:r>
    </w:p>
    <w:p>
      <w:pPr>
        <w:numPr>
          <w:ilvl w:val="0"/>
          <w:numId w:val="1004"/>
        </w:numPr>
        <w:pStyle w:val="Compact"/>
      </w:pPr>
      <w:r>
        <w:t xml:space="preserve">Ensuring network security protocols met international standards while addressing local requirements.</w:t>
      </w:r>
    </w:p>
    <w:bookmarkEnd w:id="25"/>
    <w:bookmarkStart w:id="26" w:name="collaboration-and-communication"/>
    <w:p>
      <w:pPr>
        <w:pStyle w:val="Heading2"/>
      </w:pPr>
      <w:r>
        <w:t xml:space="preserve">6. Collaboration and Communication</w:t>
      </w:r>
    </w:p>
    <w:p>
      <w:pPr>
        <w:pStyle w:val="FirstParagraph"/>
      </w:pPr>
      <w:r>
        <w:t xml:space="preserve">The Telecommunication Engineer displayed excellent collaboration and communication skills, fostering a positive work environment and facilitating effective teamwork. Key observations include:</w:t>
      </w:r>
    </w:p>
    <w:p>
      <w:pPr>
        <w:numPr>
          <w:ilvl w:val="0"/>
          <w:numId w:val="1005"/>
        </w:numPr>
        <w:pStyle w:val="Compact"/>
      </w:pPr>
      <w:r>
        <w:t xml:space="preserve">Active participation in cross-functional meetings, providing valuable insights and recommendations.</w:t>
      </w:r>
    </w:p>
    <w:p>
      <w:pPr>
        <w:numPr>
          <w:ilvl w:val="0"/>
          <w:numId w:val="1005"/>
        </w:numPr>
        <w:pStyle w:val="Compact"/>
      </w:pPr>
      <w:r>
        <w:t xml:space="preserve">Clear and concise documentation of technical processes and project outcomes.</w:t>
      </w:r>
    </w:p>
    <w:p>
      <w:pPr>
        <w:numPr>
          <w:ilvl w:val="0"/>
          <w:numId w:val="1005"/>
        </w:numPr>
        <w:pStyle w:val="Compact"/>
      </w:pPr>
      <w:r>
        <w:t xml:space="preserve">Mentoring junior engineers and contributing to their professional development.</w:t>
      </w:r>
    </w:p>
    <w:bookmarkEnd w:id="26"/>
    <w:bookmarkStart w:id="27" w:name="innovation-and-problem-solving"/>
    <w:p>
      <w:pPr>
        <w:pStyle w:val="Heading2"/>
      </w:pPr>
      <w:r>
        <w:t xml:space="preserve">7. Innovation and Problem-Solving</w:t>
      </w:r>
    </w:p>
    <w:p>
      <w:pPr>
        <w:pStyle w:val="FirstParagraph"/>
      </w:pPr>
      <w:r>
        <w:t xml:space="preserve">Innovation is a cornerstone of the telecommunications industry, and the engineer consistently demonstrated creative problem-solving abilities. Highlights include:</w:t>
      </w:r>
    </w:p>
    <w:p>
      <w:pPr>
        <w:numPr>
          <w:ilvl w:val="0"/>
          <w:numId w:val="1006"/>
        </w:numPr>
        <w:pStyle w:val="Compact"/>
      </w:pPr>
      <w:r>
        <w:t xml:space="preserve">Development of a novel solution to address network congestion issues in high-density areas of Malaysia Kuala Lumpur.</w:t>
      </w:r>
    </w:p>
    <w:p>
      <w:pPr>
        <w:numPr>
          <w:ilvl w:val="0"/>
          <w:numId w:val="1006"/>
        </w:numPr>
        <w:pStyle w:val="Compact"/>
      </w:pPr>
      <w:r>
        <w:t xml:space="preserve">Integration of artificial intelligence tools to predict and resolve network faults proactively.</w:t>
      </w:r>
    </w:p>
    <w:p>
      <w:pPr>
        <w:numPr>
          <w:ilvl w:val="0"/>
          <w:numId w:val="1006"/>
        </w:numPr>
        <w:pStyle w:val="Compact"/>
      </w:pPr>
      <w:r>
        <w:t xml:space="preserve">Proposal of cost-effective strategies to enhance network coverage without compromising quality.</w:t>
      </w:r>
    </w:p>
    <w:bookmarkEnd w:id="27"/>
    <w:bookmarkStart w:id="28" w:name="areas-for-improvement"/>
    <w:p>
      <w:pPr>
        <w:pStyle w:val="Heading2"/>
      </w:pPr>
      <w:r>
        <w:t xml:space="preserve">8. Areas for Improvement</w:t>
      </w:r>
    </w:p>
    <w:p>
      <w:pPr>
        <w:pStyle w:val="FirstParagraph"/>
      </w:pPr>
      <w:r>
        <w:t xml:space="preserve">While the Telecommunication Engineer has performed exceptionally well, there are areas where further development could enhance overall effectiveness:</w:t>
      </w:r>
    </w:p>
    <w:p>
      <w:pPr>
        <w:numPr>
          <w:ilvl w:val="0"/>
          <w:numId w:val="1007"/>
        </w:numPr>
        <w:pStyle w:val="Compact"/>
      </w:pPr>
      <w:r>
        <w:t xml:space="preserve">Enhancing knowledge of emerging technologies such as IoT and edge computing to stay ahead of industry trends.</w:t>
      </w:r>
    </w:p>
    <w:p>
      <w:pPr>
        <w:numPr>
          <w:ilvl w:val="0"/>
          <w:numId w:val="1007"/>
        </w:numPr>
        <w:pStyle w:val="Compact"/>
      </w:pPr>
      <w:r>
        <w:t xml:space="preserve">Strengthening leadership skills to manage larger, more complex projects independently.</w:t>
      </w:r>
    </w:p>
    <w:p>
      <w:pPr>
        <w:numPr>
          <w:ilvl w:val="0"/>
          <w:numId w:val="1007"/>
        </w:numPr>
        <w:pStyle w:val="Compact"/>
      </w:pPr>
      <w:r>
        <w:t xml:space="preserve">Increasing engagement in industry forums and conferences to expand professional networks.</w:t>
      </w:r>
    </w:p>
    <w:bookmarkEnd w:id="28"/>
    <w:bookmarkStart w:id="29" w:name="conclusion"/>
    <w:p>
      <w:pPr>
        <w:pStyle w:val="Heading2"/>
      </w:pPr>
      <w:r>
        <w:t xml:space="preserve">9. Conclusion</w:t>
      </w:r>
    </w:p>
    <w:p>
      <w:pPr>
        <w:pStyle w:val="FirstParagraph"/>
      </w:pPr>
      <w:r>
        <w:t xml:space="preserve">This Peer Review Report concludes that the Telecommunication Engineer has made significant contributions to the organization and the broader telecommunications sector in Malaysia Kuala Lumpur. Their technical expertise, project management skills, and commitment to regulatory compliance have been instrumental in achieving organizational goals. With continued focus on professional development, the engineer is well-positioned to take on greater responsibilities and drive innovation in the field.</w:t>
      </w:r>
    </w:p>
    <w:bookmarkEnd w:id="29"/>
    <w:bookmarkStart w:id="30" w:name="recommendations"/>
    <w:p>
      <w:pPr>
        <w:pStyle w:val="Heading2"/>
      </w:pPr>
      <w:r>
        <w:t xml:space="preserve">10. Recommendations</w:t>
      </w:r>
    </w:p>
    <w:p>
      <w:pPr>
        <w:pStyle w:val="FirstParagraph"/>
      </w:pPr>
      <w:r>
        <w:t xml:space="preserve">Based on the findings of this review, the following recommendations are proposed:</w:t>
      </w:r>
    </w:p>
    <w:p>
      <w:pPr>
        <w:numPr>
          <w:ilvl w:val="0"/>
          <w:numId w:val="1008"/>
        </w:numPr>
        <w:pStyle w:val="Compact"/>
      </w:pPr>
      <w:r>
        <w:t xml:space="preserve">Provide opportunities for advanced training in emerging technologies.</w:t>
      </w:r>
    </w:p>
    <w:p>
      <w:pPr>
        <w:numPr>
          <w:ilvl w:val="0"/>
          <w:numId w:val="1008"/>
        </w:numPr>
        <w:pStyle w:val="Compact"/>
      </w:pPr>
      <w:r>
        <w:t xml:space="preserve">Assign leadership roles in upcoming projects to further develop managerial skills.</w:t>
      </w:r>
    </w:p>
    <w:p>
      <w:pPr>
        <w:numPr>
          <w:ilvl w:val="0"/>
          <w:numId w:val="1008"/>
        </w:numPr>
        <w:pStyle w:val="Compact"/>
      </w:pPr>
      <w:r>
        <w:t xml:space="preserve">Encourage participation in industry events to foster networking and knowledge exchange.</w:t>
      </w:r>
    </w:p>
    <w:bookmarkEnd w:id="30"/>
    <w:p>
      <w:pPr>
        <w:pStyle w:val="FirstParagraph"/>
      </w:pPr>
      <w:r>
        <w:rPr>
          <w:bCs/>
          <w:b/>
        </w:rPr>
        <w:t xml:space="preserve">Prepared by:</w:t>
      </w:r>
      <w:r>
        <w:t xml:space="preserve"> </w:t>
      </w:r>
      <w:r>
        <w:t xml:space="preserve">[Reviewer's Name]</w:t>
      </w:r>
    </w:p>
    <w:p>
      <w:pPr>
        <w:pStyle w:val="BodyText"/>
      </w:pPr>
      <w:r>
        <w:rPr>
          <w:bCs/>
          <w:b/>
        </w:rPr>
        <w:t xml:space="preserve">Position:</w:t>
      </w:r>
      <w:r>
        <w:t xml:space="preserve"> </w:t>
      </w:r>
      <w:r>
        <w:t xml:space="preserve">Senior Telecommunications Specialist</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dc:title>
  <dc:creator/>
  <dc:language>en</dc:language>
  <cp:keywords/>
  <dcterms:created xsi:type="dcterms:W3CDTF">2026-10-10T09:04:22Z</dcterms:created>
  <dcterms:modified xsi:type="dcterms:W3CDTF">2026-10-10T09:04:22Z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