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Technical Competency Assessment: Telecommunication Engineer</w:t>
      </w:r>
    </w:p>
    <w:p>
      <w:pPr>
        <w:pStyle w:val="BodyText"/>
      </w:pPr>
      <w:r>
        <w:t xml:space="preserve">Location:</w:t>
      </w:r>
      <w:r>
        <w:t xml:space="preserve"> </w:t>
      </w:r>
      <w:r>
        <w:t xml:space="preserve">Moscow, Russia</w:t>
      </w:r>
    </w:p>
    <w:p>
      <w:pPr>
        <w:pStyle w:val="BodyText"/>
      </w:pPr>
      <w:r>
        <w:t xml:space="preserve">Date:</w:t>
      </w:r>
      <w:r>
        <w:t xml:space="preserve"> </w:t>
      </w:r>
      <w:r>
        <w:t xml:space="preserve">October 24, 2023</w:t>
      </w:r>
    </w:p>
    <w:p>
      <w:pPr>
        <w:pStyle w:val="BodyText"/>
      </w:pPr>
      <w:r>
        <w:t xml:space="preserve">Review ID:</w:t>
      </w:r>
      <w:r>
        <w:t xml:space="preserve"> </w:t>
      </w:r>
      <w:r>
        <w:t xml:space="preserve">RU-MOW-TE-2023-894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project management skills, and operational efficiency of a Senior Telecommunication Engineer based in the Moscow region. The review focuses on the engineer's performance within the context of the rapidly evolving telecommunications landscape in Russia, specifically addressing the challenges of infrastructure modernization, 5G deployment trials, and network resilience in the Moscow metropolitan area.</w:t>
      </w:r>
    </w:p>
    <w:p>
      <w:pPr>
        <w:pStyle w:val="BodyText"/>
      </w:pPr>
      <w:r>
        <w:t xml:space="preserve">The subject has demonstrated a high level of proficiency in RF engineering, core network architecture, and compliance with Russian telecommunications standards (GOST). This document details the specific areas of strength, identifies critical gaps, and provides actionable recommendations for professional development aligned with the strategic goals of the organization.</w:t>
      </w:r>
    </w:p>
    <w:bookmarkEnd w:id="21"/>
    <w:bookmarkStart w:id="22" w:name="subject-profile-and-scope"/>
    <w:p>
      <w:pPr>
        <w:pStyle w:val="Heading2"/>
      </w:pPr>
      <w:r>
        <w:t xml:space="preserve">2. Subject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Telecommunication Engineer</w:t>
            </w:r>
          </w:p>
        </w:tc>
      </w:tr>
      <w:tr>
        <w:tc>
          <w:tcPr/>
          <w:p>
            <w:pPr>
              <w:pStyle w:val="Compact"/>
              <w:jc w:val="left"/>
            </w:pPr>
            <w:r>
              <w:t xml:space="preserve">Department</w:t>
            </w:r>
          </w:p>
        </w:tc>
        <w:tc>
          <w:tcPr/>
          <w:p>
            <w:pPr>
              <w:pStyle w:val="Compact"/>
              <w:jc w:val="left"/>
            </w:pPr>
            <w:r>
              <w:t xml:space="preserve">Network Infrastructure &amp; Optimization</w:t>
            </w:r>
          </w:p>
        </w:tc>
      </w:tr>
      <w:tr>
        <w:tc>
          <w:tcPr/>
          <w:p>
            <w:pPr>
              <w:pStyle w:val="Compact"/>
              <w:jc w:val="left"/>
            </w:pPr>
            <w:r>
              <w:t xml:space="preserve">Primary Location</w:t>
            </w:r>
          </w:p>
        </w:tc>
        <w:tc>
          <w:tcPr/>
          <w:p>
            <w:pPr>
              <w:pStyle w:val="Compact"/>
              <w:jc w:val="left"/>
            </w:pPr>
            <w:r>
              <w:t xml:space="preserve">Moscow, Russia (Central District Operations)</w:t>
            </w:r>
          </w:p>
        </w:tc>
      </w:tr>
      <w:tr>
        <w:tc>
          <w:tcPr/>
          <w:p>
            <w:pPr>
              <w:pStyle w:val="Compact"/>
              <w:jc w:val="left"/>
            </w:pPr>
            <w:r>
              <w:t xml:space="preserve">Review Period</w:t>
            </w:r>
          </w:p>
        </w:tc>
        <w:tc>
          <w:tcPr/>
          <w:p>
            <w:pPr>
              <w:pStyle w:val="Compact"/>
              <w:jc w:val="left"/>
            </w:pPr>
            <w:r>
              <w:t xml:space="preserve">Q1 2023 – Q3 2023</w:t>
            </w:r>
          </w:p>
        </w:tc>
      </w:tr>
      <w:tr>
        <w:tc>
          <w:tcPr/>
          <w:p>
            <w:pPr>
              <w:pStyle w:val="Compact"/>
              <w:jc w:val="left"/>
            </w:pPr>
            <w:r>
              <w:t xml:space="preserve">Key Projects</w:t>
            </w:r>
          </w:p>
        </w:tc>
        <w:tc>
          <w:tcPr/>
          <w:p>
            <w:pPr>
              <w:pStyle w:val="Compact"/>
              <w:jc w:val="left"/>
            </w:pPr>
            <w:r>
              <w:t xml:space="preserve">Moscow Fiber Optic Expansion, 5G Spectrum Analysis, Legacy GSM Refarming</w:t>
            </w:r>
          </w:p>
        </w:tc>
      </w:tr>
    </w:tbl>
    <w:bookmarkEnd w:id="22"/>
    <w:bookmarkStart w:id="26" w:name="technical-competency-assessment"/>
    <w:p>
      <w:pPr>
        <w:pStyle w:val="Heading2"/>
      </w:pPr>
      <w:r>
        <w:t xml:space="preserve">3. Technical Competency Assessment</w:t>
      </w:r>
    </w:p>
    <w:p>
      <w:pPr>
        <w:pStyle w:val="FirstParagraph"/>
      </w:pPr>
      <w:r>
        <w:t xml:space="preserve">The core of this Peer Review Report evaluates the engineer's technical mastery. Operating in Moscow requires a unique blend of theoretical knowledge and practical adaptability due to the city's dense urban environment and complex electromagnetic spectrum regulations.</w:t>
      </w:r>
    </w:p>
    <w:bookmarkStart w:id="23" w:name="rf-engineering-and-network-optimization"/>
    <w:p>
      <w:pPr>
        <w:pStyle w:val="Heading3"/>
      </w:pPr>
      <w:r>
        <w:t xml:space="preserve">3.1 RF Engineering and Network Optimization</w:t>
      </w:r>
    </w:p>
    <w:p>
      <w:pPr>
        <w:pStyle w:val="FirstParagraph"/>
      </w:pPr>
      <w:r>
        <w:t xml:space="preserve">The engineer has shown exceptional skill in radio frequency planning. During the recent optimization of the Moscow Central Circle network, the subject successfully reduced interference levels by 15% through precise antenna tilting and power adjustment. Their understanding of propagation models in high-density urban canyons is superior to the team average. However, there is a need to deepen expertise in Massive MIMO configurations, which are becoming standard for next-generation deployments in Russia.</w:t>
      </w:r>
    </w:p>
    <w:bookmarkEnd w:id="23"/>
    <w:bookmarkStart w:id="24" w:name="core-network-and-ip-infrastructure"/>
    <w:p>
      <w:pPr>
        <w:pStyle w:val="Heading3"/>
      </w:pPr>
      <w:r>
        <w:t xml:space="preserve">3.2 Core Network and IP Infrastructure</w:t>
      </w:r>
    </w:p>
    <w:p>
      <w:pPr>
        <w:pStyle w:val="FirstParagraph"/>
      </w:pPr>
      <w:r>
        <w:t xml:space="preserve">Proficiency in IP routing protocols (BGP, OSPF) and MPLS is evident. The engineer played a pivotal role in migrating legacy voice traffic to VoLTE across the Moscow region. The transition was executed with minimal downtime, adhering to strict Service Level Agreements (SLAs). The review notes that while the engineer is competent in hardware configuration, their scripting abilities (Python/Bash) for network automation require improvement to meet modern DevOps standards.</w:t>
      </w:r>
    </w:p>
    <w:bookmarkEnd w:id="24"/>
    <w:bookmarkStart w:id="25" w:name="regulatory-compliance-and-standards"/>
    <w:p>
      <w:pPr>
        <w:pStyle w:val="Heading3"/>
      </w:pPr>
      <w:r>
        <w:t xml:space="preserve">3.3 Regulatory Compliance and Standards</w:t>
      </w:r>
    </w:p>
    <w:p>
      <w:pPr>
        <w:pStyle w:val="FirstParagraph"/>
      </w:pPr>
      <w:r>
        <w:t xml:space="preserve">A critical aspect of working as a Telecommunication Engineer in Russia is adherence to Roskomnadzor regulations. The subject demonstrated excellent knowledge of local frequency allocation plans and licensing requirements. All documentation submitted for the Moscow infrastructure projects was compliant with GOST standards, ensuring no legal delays in project timelines.</w:t>
      </w:r>
    </w:p>
    <w:bookmarkEnd w:id="25"/>
    <w:bookmarkEnd w:id="26"/>
    <w:bookmarkStart w:id="27" w:name="X4fc68d315903e97fbabc1fedaf713e2e8fe30c1"/>
    <w:p>
      <w:pPr>
        <w:pStyle w:val="Heading2"/>
      </w:pPr>
      <w:r>
        <w:t xml:space="preserve">4. Project Management and Operational Efficiency</w:t>
      </w:r>
    </w:p>
    <w:p>
      <w:pPr>
        <w:pStyle w:val="FirstParagraph"/>
      </w:pPr>
      <w:r>
        <w:t xml:space="preserve">Beyond technical skills, this Peer Review Report assesses the engineer's ability to manage resources and timelines within the Moscow operational framework.</w:t>
      </w:r>
    </w:p>
    <w:p>
      <w:pPr>
        <w:numPr>
          <w:ilvl w:val="0"/>
          <w:numId w:val="1001"/>
        </w:numPr>
        <w:pStyle w:val="Compact"/>
      </w:pPr>
      <w:r>
        <w:rPr>
          <w:bCs/>
          <w:b/>
        </w:rPr>
        <w:t xml:space="preserve">Coordination:</w:t>
      </w:r>
      <w:r>
        <w:t xml:space="preserve"> </w:t>
      </w:r>
      <w:r>
        <w:t xml:space="preserve">The engineer effectively coordinates with external contractors and municipal authorities in Moscow to secure permits for tower installations. This soft skill is vital in the Russian market.</w:t>
      </w:r>
    </w:p>
    <w:p>
      <w:pPr>
        <w:numPr>
          <w:ilvl w:val="0"/>
          <w:numId w:val="1001"/>
        </w:numPr>
        <w:pStyle w:val="Compact"/>
      </w:pPr>
      <w:r>
        <w:rPr>
          <w:bCs/>
          <w:b/>
        </w:rPr>
        <w:t xml:space="preserve">Crisis Management:</w:t>
      </w:r>
      <w:r>
        <w:t xml:space="preserve"> </w:t>
      </w:r>
      <w:r>
        <w:t xml:space="preserve">During the severe winter outages in January, the subject led the rapid response team, restoring connectivity to critical sectors within 4 hours. This demonstrates high operational resilience.</w:t>
      </w:r>
    </w:p>
    <w:p>
      <w:pPr>
        <w:numPr>
          <w:ilvl w:val="0"/>
          <w:numId w:val="1001"/>
        </w:numPr>
        <w:pStyle w:val="Compact"/>
      </w:pPr>
      <w:r>
        <w:rPr>
          <w:bCs/>
          <w:b/>
        </w:rPr>
        <w:t xml:space="preserve">Documentation:</w:t>
      </w:r>
      <w:r>
        <w:t xml:space="preserve"> </w:t>
      </w:r>
      <w:r>
        <w:t xml:space="preserve">Technical reports are detailed and accurate, though the translation of complex technical data into executive summaries for non-technical stakeholders needs refinement.</w:t>
      </w:r>
    </w:p>
    <w:bookmarkEnd w:id="27"/>
    <w:bookmarkStart w:id="28" w:name="performance-metrics-and-scoring"/>
    <w:p>
      <w:pPr>
        <w:pStyle w:val="Heading2"/>
      </w:pPr>
      <w:r>
        <w:t xml:space="preserve">5. Performance Metrics and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RF Planning &amp; Optimization</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Core Network Architecture</w:t>
            </w:r>
          </w:p>
        </w:tc>
        <w:tc>
          <w:tcPr/>
          <w:p>
            <w:pPr>
              <w:pStyle w:val="Compact"/>
              <w:jc w:val="left"/>
            </w:pPr>
            <w:r>
              <w:t xml:space="preserve">4</w:t>
            </w:r>
          </w:p>
        </w:tc>
        <w:tc>
          <w:tcPr/>
          <w:p>
            <w:pPr>
              <w:pStyle w:val="Compact"/>
              <w:jc w:val="left"/>
            </w:pPr>
            <w:r>
              <w:t xml:space="preserve">Proficient</w:t>
            </w:r>
          </w:p>
        </w:tc>
      </w:tr>
      <w:tr>
        <w:tc>
          <w:tcPr/>
          <w:p>
            <w:pPr>
              <w:pStyle w:val="Compact"/>
              <w:jc w:val="left"/>
            </w:pPr>
            <w:r>
              <w:t xml:space="preserve">Regulatory Knowledge (Russia)</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Network Automation/Scripting</w:t>
            </w:r>
          </w:p>
        </w:tc>
        <w:tc>
          <w:tcPr/>
          <w:p>
            <w:pPr>
              <w:pStyle w:val="Compact"/>
              <w:jc w:val="left"/>
            </w:pPr>
            <w:r>
              <w:t xml:space="preserve">2</w:t>
            </w:r>
          </w:p>
        </w:tc>
        <w:tc>
          <w:tcPr/>
          <w:p>
            <w:pPr>
              <w:pStyle w:val="Compact"/>
              <w:jc w:val="left"/>
            </w:pPr>
            <w:r>
              <w:t xml:space="preserve">Needs Improvement</w:t>
            </w:r>
          </w:p>
        </w:tc>
      </w:tr>
      <w:tr>
        <w:tc>
          <w:tcPr/>
          <w:p>
            <w:pPr>
              <w:pStyle w:val="Compact"/>
              <w:jc w:val="left"/>
            </w:pPr>
            <w:r>
              <w:t xml:space="preserve">Team Leadership</w:t>
            </w:r>
          </w:p>
        </w:tc>
        <w:tc>
          <w:tcPr/>
          <w:p>
            <w:pPr>
              <w:pStyle w:val="Compact"/>
              <w:jc w:val="left"/>
            </w:pPr>
            <w:r>
              <w:t xml:space="preserve">4</w:t>
            </w:r>
          </w:p>
        </w:tc>
        <w:tc>
          <w:tcPr/>
          <w:p>
            <w:pPr>
              <w:pStyle w:val="Compact"/>
              <w:jc w:val="left"/>
            </w:pPr>
            <w:r>
              <w:t xml:space="preserve">Proficient</w:t>
            </w:r>
          </w:p>
        </w:tc>
      </w:tr>
    </w:tbl>
    <w:bookmarkEnd w:id="28"/>
    <w:bookmarkStart w:id="29" w:name="recommendations-and-development-plan"/>
    <w:p>
      <w:pPr>
        <w:pStyle w:val="Heading2"/>
      </w:pPr>
      <w:r>
        <w:t xml:space="preserve">6. Recommendations and Development Plan</w:t>
      </w:r>
    </w:p>
    <w:p>
      <w:pPr>
        <w:pStyle w:val="FirstParagraph"/>
      </w:pPr>
      <w:r>
        <w:t xml:space="preserve">Based on the findings of this Peer Review Report, the following actions are recommended for the Telecommunication Engineer to enhance their value to the organization in the Moscow market:</w:t>
      </w:r>
    </w:p>
    <w:p>
      <w:pPr>
        <w:numPr>
          <w:ilvl w:val="0"/>
          <w:numId w:val="1002"/>
        </w:numPr>
        <w:pStyle w:val="Compact"/>
      </w:pPr>
      <w:r>
        <w:rPr>
          <w:bCs/>
          <w:b/>
        </w:rPr>
        <w:t xml:space="preserve">Advanced Automation Training:</w:t>
      </w:r>
      <w:r>
        <w:t xml:space="preserve"> </w:t>
      </w:r>
      <w:r>
        <w:t xml:space="preserve">Enroll in a certified course for Python for Network Engineers to automate routine configuration tasks and reduce human error.</w:t>
      </w:r>
    </w:p>
    <w:p>
      <w:pPr>
        <w:numPr>
          <w:ilvl w:val="0"/>
          <w:numId w:val="1002"/>
        </w:numPr>
        <w:pStyle w:val="Compact"/>
      </w:pPr>
      <w:r>
        <w:rPr>
          <w:bCs/>
          <w:b/>
        </w:rPr>
        <w:t xml:space="preserve">5G Specialization:</w:t>
      </w:r>
      <w:r>
        <w:t xml:space="preserve"> </w:t>
      </w:r>
      <w:r>
        <w:t xml:space="preserve">Participate in vendor-specific training (e.g., Huawei, Ericsson, or Nokia) focused on 5G NR deployment strategies relevant to the Russian spectrum bands.</w:t>
      </w:r>
    </w:p>
    <w:p>
      <w:pPr>
        <w:numPr>
          <w:ilvl w:val="0"/>
          <w:numId w:val="1002"/>
        </w:numPr>
        <w:pStyle w:val="Compact"/>
      </w:pPr>
      <w:r>
        <w:rPr>
          <w:bCs/>
          <w:b/>
        </w:rPr>
        <w:t xml:space="preserve">Stakeholder Communication:</w:t>
      </w:r>
      <w:r>
        <w:t xml:space="preserve"> </w:t>
      </w:r>
      <w:r>
        <w:t xml:space="preserve">Attend workshops on technical writing and presentation skills to better communicate network risks and benefits to senior management.</w:t>
      </w:r>
    </w:p>
    <w:bookmarkEnd w:id="29"/>
    <w:bookmarkStart w:id="30" w:name="conclusion"/>
    <w:p>
      <w:pPr>
        <w:pStyle w:val="Heading2"/>
      </w:pPr>
      <w:r>
        <w:t xml:space="preserve">7. Conclusion</w:t>
      </w:r>
    </w:p>
    <w:p>
      <w:pPr>
        <w:pStyle w:val="FirstParagraph"/>
      </w:pPr>
      <w:r>
        <w:t xml:space="preserve">The subject is a highly valuable asset to the telecommunications division in Moscow. Their deep understanding of the local regulatory environment and strong technical foundation in RF engineering make them indispensable for current infrastructure projects. By addressing the identified gaps in automation and next-generation network technologies, this Telecommunication Engineer is well-positioned to take on a lead architect role within the next 12 months.</w:t>
      </w:r>
    </w:p>
    <w:bookmarkEnd w:id="30"/>
    <w:p>
      <w:pPr>
        <w:pStyle w:val="BodyText"/>
      </w:pPr>
      <w:r>
        <w:rPr>
          <w:bCs/>
          <w:b/>
        </w:rPr>
        <w:t xml:space="preserve">Reviewed By:</w:t>
      </w:r>
    </w:p>
    <w:p>
      <w:pPr>
        <w:pStyle w:val="BodyText"/>
      </w:pPr>
      <w:r>
        <w:t xml:space="preserve">Alexei Volkov</w:t>
      </w:r>
    </w:p>
    <w:p>
      <w:pPr>
        <w:pStyle w:val="BodyText"/>
      </w:pPr>
      <w:r>
        <w:t xml:space="preserve">Chief Technology Officer</w:t>
      </w:r>
    </w:p>
    <w:p>
      <w:pPr>
        <w:pStyle w:val="BodyText"/>
      </w:pPr>
      <w:r>
        <w:rPr>
          <w:bCs/>
          <w:b/>
        </w:rPr>
        <w:t xml:space="preserve">Reviewed By:</w:t>
      </w:r>
    </w:p>
    <w:p>
      <w:pPr>
        <w:pStyle w:val="BodyText"/>
      </w:pPr>
      <w:r>
        <w:t xml:space="preserve">Elena Sokolova</w:t>
      </w:r>
    </w:p>
    <w:p>
      <w:pPr>
        <w:pStyle w:val="BodyText"/>
      </w:pPr>
      <w:r>
        <w:t xml:space="preserve">Senior Network Architect</w:t>
      </w:r>
    </w:p>
    <w:p>
      <w:pPr>
        <w:pStyle w:val="BodyText"/>
      </w:pPr>
      <w:r>
        <w:t xml:space="preserve">© 2023 Telecommunications Infrastructure Group. Moscow, Russia. All rights reserved.</w:t>
      </w:r>
    </w:p>
    <w:p>
      <w:pPr>
        <w:pStyle w:val="BodyText"/>
      </w:pPr>
      <w:r>
        <w:t xml:space="preserve">This Peer Review Report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Moscow, Russia</dc:title>
  <dc:creator/>
  <dc:language>en</dc:language>
  <cp:keywords/>
  <dcterms:created xsi:type="dcterms:W3CDTF">2026-10-10T08:08:39Z</dcterms:created>
  <dcterms:modified xsi:type="dcterms:W3CDTF">2026-10-10T08:08:39Z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