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7" w:name="peer-review-report"/>
    <w:p>
      <w:pPr>
        <w:pStyle w:val="Heading1"/>
      </w:pPr>
      <w:r>
        <w:t xml:space="preserve">Peer Review Report</w:t>
      </w:r>
    </w:p>
    <w:p>
      <w:pPr>
        <w:pStyle w:val="FirstParagraph"/>
      </w:pPr>
      <w:r>
        <w:t xml:space="preserve">Subject:</w:t>
      </w:r>
      <w:r>
        <w:t xml:space="preserve"> </w:t>
      </w:r>
      <w:r>
        <w:t xml:space="preserve">Telecommunication Engineer</w:t>
      </w:r>
    </w:p>
    <w:p>
      <w:pPr>
        <w:pStyle w:val="BodyText"/>
      </w:pPr>
      <w:r>
        <w:t xml:space="preserve">Employee Name:</w:t>
      </w:r>
      <w:r>
        <w:t xml:space="preserve"> </w:t>
      </w:r>
      <w:r>
        <w:t xml:space="preserve">[Insert Name]</w:t>
      </w:r>
    </w:p>
    <w:p>
      <w:pPr>
        <w:pStyle w:val="BodyText"/>
      </w:pPr>
      <w:r>
        <w:t xml:space="preserve">Employee ID:</w:t>
      </w:r>
      <w:r>
        <w:t xml:space="preserve"> </w:t>
      </w:r>
      <w:r>
        <w:t xml:space="preserve">[Insert ID]</w:t>
      </w:r>
    </w:p>
    <w:p>
      <w:pPr>
        <w:pStyle w:val="BodyText"/>
      </w:pPr>
      <w:r>
        <w:t xml:space="preserve">Department:</w:t>
      </w:r>
      <w:r>
        <w:t xml:space="preserve"> </w:t>
      </w:r>
      <w:r>
        <w:t xml:space="preserve">Network Operations &amp; Infrastructure</w:t>
      </w:r>
    </w:p>
    <w:p>
      <w:pPr>
        <w:pStyle w:val="BodyText"/>
      </w:pPr>
      <w:r>
        <w:t xml:space="preserve">Location:</w:t>
      </w:r>
      <w:r>
        <w:t xml:space="preserve"> </w:t>
      </w:r>
      <w:r>
        <w:t xml:space="preserve">Saudi Arabia Riyadh</w:t>
      </w:r>
    </w:p>
    <w:p>
      <w:pPr>
        <w:pStyle w:val="BodyText"/>
      </w:pPr>
      <w:r>
        <w:t xml:space="preserve">Review Period:</w:t>
      </w:r>
      <w:r>
        <w:t xml:space="preserve"> </w:t>
      </w:r>
      <w:r>
        <w:t xml:space="preserve">[Insert Start Date] to [Insert End Date]</w:t>
      </w:r>
    </w:p>
    <w:p>
      <w:pPr>
        <w:pStyle w:val="BodyText"/>
      </w:pPr>
      <w:r>
        <w:t xml:space="preserve">Reviewer Name:</w:t>
      </w:r>
      <w:r>
        <w:t xml:space="preserve"> </w:t>
      </w:r>
      <w:r>
        <w:t xml:space="preserve">[Insert Reviewer Name]</w:t>
      </w:r>
    </w:p>
    <w:p>
      <w:pPr>
        <w:pStyle w:val="BodyText"/>
      </w:pPr>
      <w:r>
        <w:t xml:space="preserve">Date of Report:</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operational contributions of the Telecommunication Engineer assigned to our Riyadh headquarters. As Saudi Arabia accelerates its digital transformation under the Vision 2030 initiative, the role of the Telecommunication Engineer in Riyadh has become pivotal in ensuring the reliability, scalability, and security of our national network infrastructure. This document outlines the engineer's adherence to technical standards, collaboration within the Riyadh engineering team, and their ability to navigate the unique regulatory and environmental challenges of the Kingdom.</w:t>
      </w:r>
    </w:p>
    <w:bookmarkEnd w:id="20"/>
    <w:bookmarkStart w:id="21" w:name="X79e2c5fc8971738305ce90e2eb150a61f44efcb"/>
    <w:p>
      <w:pPr>
        <w:pStyle w:val="Heading2"/>
      </w:pPr>
      <w:r>
        <w:t xml:space="preserve">2. Technical Competency and Network Performance</w:t>
      </w:r>
    </w:p>
    <w:p>
      <w:pPr>
        <w:pStyle w:val="FirstParagraph"/>
      </w:pPr>
      <w:r>
        <w:t xml:space="preserve">The primary responsibility of the Telecommunication Engineer in this role involves the design, implementation, and maintenance of complex communication systems. During this review period, the engineer demonstrated a high level of proficiency in managing 5G network deployments and fiber optic infrastructure across the Riyadh metropolitan area. Their technical knowledge regarding LTE-Advanced and emerging 6G research protocols aligns well with the strategic goals of the local telecommunications sector.</w:t>
      </w:r>
    </w:p>
    <w:p>
      <w:pPr>
        <w:pStyle w:val="BodyText"/>
      </w:pPr>
      <w:r>
        <w:t xml:space="preserve">Specifically, the engineer played a critical role in optimizing network latency for enterprise clients in the King Abdullah Financial District (KAFD). By reconfiguring routing protocols and implementing advanced Quality of Service (QoS) policies, they successfully reduced packet loss by 15% during peak traffic hours. This technical achievement is particularly significant given the high-density urban environment of Riyadh and the increasing demand for low-latency connectivity in the financial and government sectors.</w:t>
      </w:r>
    </w:p>
    <w:bookmarkEnd w:id="21"/>
    <w:bookmarkStart w:id="22" w:name="Xdb3084f2ace8dc66cab62c0fc43c878d3ac8b8f"/>
    <w:p>
      <w:pPr>
        <w:pStyle w:val="Heading2"/>
      </w:pPr>
      <w:r>
        <w:t xml:space="preserve">3. Project Management and Vision 2030 Alignment</w:t>
      </w:r>
    </w:p>
    <w:p>
      <w:pPr>
        <w:pStyle w:val="FirstParagraph"/>
      </w:pPr>
      <w:r>
        <w:t xml:space="preserve">Operating in Saudi Arabia Riyadh requires a Telecommunication Engineer to be not only technically sound but also agile in project management. The engineer was tasked with overseeing the rollout of new base stations in support of the Kingdom's smart city initiatives. The review highlights their ability to manage cross-functional teams, coordinate with local civil engineering contractors, and adhere to strict timelines mandated by the Communications, Space and Technology Commission (CST).</w:t>
      </w:r>
    </w:p>
    <w:p>
      <w:pPr>
        <w:pStyle w:val="BodyText"/>
      </w:pPr>
      <w:r>
        <w:t xml:space="preserve">The engineer successfully delivered the "Riyadh North Expansion Project" two weeks ahead of schedule. This project involved the integration of small cells into existing urban infrastructure, a task that required meticulous planning to minimize disruption to city traffic and residents. Their ability to align technical deliverables with the broader objectives of Saudi Arabia's Vision 2030 demonstrates a strong understanding of the macro-economic context in which we operate.</w:t>
      </w:r>
    </w:p>
    <w:bookmarkEnd w:id="22"/>
    <w:bookmarkStart w:id="23" w:name="Xc1bf6019d7c7f546cd756b019a9b2d8bdab0c79"/>
    <w:p>
      <w:pPr>
        <w:pStyle w:val="Heading2"/>
      </w:pPr>
      <w:r>
        <w:t xml:space="preserve">4. Regulatory Compliance and Safety Standards</w:t>
      </w:r>
    </w:p>
    <w:p>
      <w:pPr>
        <w:pStyle w:val="FirstParagraph"/>
      </w:pPr>
      <w:r>
        <w:t xml:space="preserve">Compliance with local regulations is non-negotiable for any Telecommunication Engineer working in Saudi Arabia. This report confirms that the subject has maintained strict adherence to the safety standards set by the Saudi Standards, Metrology and Quality Organization (SASO) and the CST. The engineer consistently ensured that all radio frequency emissions remained within permissible limits and that all installation works complied with local building codes in Riyadh.</w:t>
      </w:r>
    </w:p>
    <w:p>
      <w:pPr>
        <w:pStyle w:val="BodyText"/>
      </w:pPr>
      <w:r>
        <w:t xml:space="preserve">Furthermore, the engineer demonstrated a proactive approach to cybersecurity, implementing robust encryption protocols for backhaul links to protect sensitive data in accordance with the National Cybersecurity Authority (NCA) guidelines. This vigilance is essential for maintaining the trust of government and private sector stakeholders in the region.</w:t>
      </w:r>
    </w:p>
    <w:bookmarkEnd w:id="23"/>
    <w:bookmarkStart w:id="24" w:name="collaboration-and-cultural-adaptability"/>
    <w:p>
      <w:pPr>
        <w:pStyle w:val="Heading2"/>
      </w:pPr>
      <w:r>
        <w:t xml:space="preserve">5. Collaboration and Cultural Adaptability</w:t>
      </w:r>
    </w:p>
    <w:p>
      <w:pPr>
        <w:pStyle w:val="FirstParagraph"/>
      </w:pPr>
      <w:r>
        <w:t xml:space="preserve">The Telecommunication Engineer role in Riyadh often requires interaction with a diverse workforce, including local Saudi nationals and expatriate specialists. This Peer Review Report notes the engineer's excellent interpersonal skills and cultural adaptability. They have fostered a collaborative environment within the Riyadh engineering hub, actively participating in knowledge-sharing sessions and mentoring junior technicians.</w:t>
      </w:r>
    </w:p>
    <w:p>
      <w:pPr>
        <w:pStyle w:val="BodyText"/>
      </w:pPr>
      <w:r>
        <w:t xml:space="preserve">Their respect for local customs and business etiquette has facilitated smoother negotiations with local vendors and regulatory bodies. The engineer's ability to communicate complex technical concepts in clear English and Arabic (where applicable) has been instrumental in bridging gaps between technical teams and non-technical management, ensuring that project requirements are accurately understood and executed.</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Telecommunication Engineer has been exemplary, there are areas where further development is recommended to meet the evolving demands of the Saudi market.</w:t>
      </w:r>
    </w:p>
    <w:p>
      <w:pPr>
        <w:numPr>
          <w:ilvl w:val="0"/>
          <w:numId w:val="1001"/>
        </w:numPr>
        <w:pStyle w:val="Compact"/>
      </w:pPr>
      <w:r>
        <w:rPr>
          <w:bCs/>
          <w:b/>
        </w:rPr>
        <w:t xml:space="preserve">Advanced Cloud Integration:</w:t>
      </w:r>
      <w:r>
        <w:t xml:space="preserve"> </w:t>
      </w:r>
      <w:r>
        <w:t xml:space="preserve">As Riyadh becomes a hub for cloud computing in the Middle East, the engineer should deepen their expertise in Network Functions Virtualization (NFV) and Software-Defined Networking (SDN) to better support cloud-native applications.</w:t>
      </w:r>
    </w:p>
    <w:p>
      <w:pPr>
        <w:numPr>
          <w:ilvl w:val="0"/>
          <w:numId w:val="1001"/>
        </w:numPr>
        <w:pStyle w:val="Compact"/>
      </w:pPr>
      <w:r>
        <w:rPr>
          <w:bCs/>
          <w:b/>
        </w:rPr>
        <w:t xml:space="preserve">Local Language Proficiency:</w:t>
      </w:r>
      <w:r>
        <w:t xml:space="preserve"> </w:t>
      </w:r>
      <w:r>
        <w:t xml:space="preserve">Although technical communication is effective, improving Arabic language skills would further enhance stakeholder management and community engagement during field operations in Riyadh.</w:t>
      </w:r>
    </w:p>
    <w:p>
      <w:pPr>
        <w:numPr>
          <w:ilvl w:val="0"/>
          <w:numId w:val="1001"/>
        </w:numPr>
        <w:pStyle w:val="Compact"/>
      </w:pPr>
      <w:r>
        <w:rPr>
          <w:bCs/>
          <w:b/>
        </w:rPr>
        <w:t xml:space="preserve">Documentation:</w:t>
      </w:r>
      <w:r>
        <w:t xml:space="preserve"> </w:t>
      </w:r>
      <w:r>
        <w:t xml:space="preserve">While technical execution is strong, the engineer is encouraged to produce more detailed post-implementation documentation to aid future maintenance and compliance audits.</w:t>
      </w:r>
    </w:p>
    <w:bookmarkEnd w:id="25"/>
    <w:bookmarkStart w:id="26" w:name="conclusion"/>
    <w:p>
      <w:pPr>
        <w:pStyle w:val="Heading2"/>
      </w:pPr>
      <w:r>
        <w:t xml:space="preserve">7. Conclusion</w:t>
      </w:r>
    </w:p>
    <w:p>
      <w:pPr>
        <w:pStyle w:val="FirstParagraph"/>
      </w:pPr>
      <w:r>
        <w:t xml:space="preserve">In conclusion, this Peer Review Report affirms that the Telecommunication Engineer has performed their duties with a high degree of professionalism, technical excellence, and dedication. Their contributions have significantly bolstered the network infrastructure in Saudi Arabia Riyadh, supporting the Kingdom's ambitious digital goals. The engineer is well-positioned to take on greater leadership responsibilities within the organization, provided they continue to upskill in emerging technologies and maintain their strong commitment to local regulatory compliance.</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Network Architect</w:t>
      </w:r>
    </w:p>
    <w:p>
      <w:pPr>
        <w:pStyle w:val="BodyText"/>
      </w:pPr>
      <w:r>
        <w:rPr>
          <w:bCs/>
          <w:b/>
        </w:rPr>
        <w:t xml:space="preserve">Engineer Acknowledgment:</w:t>
      </w:r>
    </w:p>
    <w:p>
      <w:pPr>
        <w:pStyle w:val="BodyText"/>
      </w:pPr>
      <w:r>
        <w:t xml:space="preserve">[Signature]</w:t>
      </w:r>
    </w:p>
    <w:p>
      <w:pPr>
        <w:pStyle w:val="BodyText"/>
      </w:pPr>
      <w:r>
        <w:rPr>
          <w:bCs/>
          <w:b/>
        </w:rPr>
        <w:t xml:space="preserve">Name:</w:t>
      </w:r>
      <w:r>
        <w:t xml:space="preserve"> </w:t>
      </w:r>
      <w:r>
        <w:t xml:space="preserve">[Engineer Name]</w:t>
      </w:r>
    </w:p>
    <w:p>
      <w:pPr>
        <w:pStyle w:val="BodyText"/>
      </w:pPr>
      <w:r>
        <w:rPr>
          <w:bCs/>
          <w:b/>
        </w:rPr>
        <w:t xml:space="preserve">Date:</w:t>
      </w:r>
      <w:r>
        <w:t xml:space="preserve"> </w:t>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