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Linguistic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a specific Translator Interpreter service provider operating within the metropolitan region of Australia Melbourne. The review aims to ensure that the services provided align with the National Accreditation Authority for Translators and Interpreters (NAATI) standards and meet the rigorous demands of the multicultural community in Melbourne. The assessment covers written translation, consecutive interpretation, and simultaneous interpretation scenarios.</w:t>
      </w:r>
    </w:p>
    <w:bookmarkEnd w:id="21"/>
    <w:bookmarkStart w:id="22" w:name="introduction-and-scope"/>
    <w:p>
      <w:pPr>
        <w:pStyle w:val="Heading2"/>
      </w:pPr>
      <w:r>
        <w:t xml:space="preserve">2. Introduction and Scope</w:t>
      </w:r>
    </w:p>
    <w:p>
      <w:pPr>
        <w:pStyle w:val="FirstParagraph"/>
      </w:pPr>
      <w:r>
        <w:t xml:space="preserve">Melbourne is recognized as one of the most culturally diverse cities in the world. Consequently, the demand for high-quality language services is critical in sectors such as healthcare, legal proceedings, education, and government administration. This report focuses on the performance of the Translator Interpreter team in facilitating communication between English speakers and speakers of priority languages including Mandarin, Arabic, Vietnamese, and Cantonese.</w:t>
      </w:r>
    </w:p>
    <w:p>
      <w:pPr>
        <w:pStyle w:val="BodyText"/>
      </w:pPr>
      <w:r>
        <w:t xml:space="preserve">The scope of this Peer Review Report includes an analysis of:</w:t>
      </w:r>
    </w:p>
    <w:p>
      <w:pPr>
        <w:numPr>
          <w:ilvl w:val="0"/>
          <w:numId w:val="1001"/>
        </w:numPr>
        <w:pStyle w:val="Compact"/>
      </w:pPr>
      <w:r>
        <w:t xml:space="preserve">Linguistic accuracy and terminology usage.</w:t>
      </w:r>
    </w:p>
    <w:p>
      <w:pPr>
        <w:numPr>
          <w:ilvl w:val="0"/>
          <w:numId w:val="1001"/>
        </w:numPr>
        <w:pStyle w:val="Compact"/>
      </w:pPr>
      <w:r>
        <w:t xml:space="preserve">Adherence to the Code of Ethics for Interpreters and Translators.</w:t>
      </w:r>
    </w:p>
    <w:p>
      <w:pPr>
        <w:numPr>
          <w:ilvl w:val="0"/>
          <w:numId w:val="1001"/>
        </w:numPr>
        <w:pStyle w:val="Compact"/>
      </w:pPr>
      <w:r>
        <w:t xml:space="preserve">Cultural sensitivity and localization strategies specific to the Australia Melbourne context.</w:t>
      </w:r>
    </w:p>
    <w:p>
      <w:pPr>
        <w:numPr>
          <w:ilvl w:val="0"/>
          <w:numId w:val="1001"/>
        </w:numPr>
        <w:pStyle w:val="Compact"/>
      </w:pPr>
      <w:r>
        <w:t xml:space="preserve">Timeliness and reliability of service delivery.</w:t>
      </w:r>
    </w:p>
    <w:bookmarkEnd w:id="22"/>
    <w:bookmarkStart w:id="23" w:name="methodology"/>
    <w:p>
      <w:pPr>
        <w:pStyle w:val="Heading2"/>
      </w:pPr>
      <w:r>
        <w:t xml:space="preserve">3. Methodology</w:t>
      </w:r>
    </w:p>
    <w:p>
      <w:pPr>
        <w:pStyle w:val="FirstParagraph"/>
      </w:pPr>
      <w:r>
        <w:t xml:space="preserve">The review process involved a multi-faceted approach to ensure objectivity and comprehensiveness. The panel utilized the following methods:</w:t>
      </w:r>
    </w:p>
    <w:p>
      <w:pPr>
        <w:numPr>
          <w:ilvl w:val="0"/>
          <w:numId w:val="1002"/>
        </w:numPr>
        <w:pStyle w:val="Compact"/>
      </w:pPr>
      <w:r>
        <w:rPr>
          <w:bCs/>
          <w:b/>
        </w:rPr>
        <w:t xml:space="preserve">Document Analysis:</w:t>
      </w:r>
      <w:r>
        <w:t xml:space="preserve"> </w:t>
      </w:r>
      <w:r>
        <w:t xml:space="preserve">A random sample of 50 translated documents was reviewed for errors in grammar, syntax, and terminology.</w:t>
      </w:r>
    </w:p>
    <w:p>
      <w:pPr>
        <w:numPr>
          <w:ilvl w:val="0"/>
          <w:numId w:val="1002"/>
        </w:numPr>
        <w:pStyle w:val="Compact"/>
      </w:pPr>
      <w:r>
        <w:rPr>
          <w:bCs/>
          <w:b/>
        </w:rPr>
        <w:t xml:space="preserve">Live Observation:</w:t>
      </w:r>
      <w:r>
        <w:t xml:space="preserve"> </w:t>
      </w:r>
      <w:r>
        <w:t xml:space="preserve">Peer reviewers observed live interpretation sessions in Melbourne community health centers and local courts.</w:t>
      </w:r>
    </w:p>
    <w:p>
      <w:pPr>
        <w:numPr>
          <w:ilvl w:val="0"/>
          <w:numId w:val="1002"/>
        </w:numPr>
        <w:pStyle w:val="Compact"/>
      </w:pPr>
      <w:r>
        <w:rPr>
          <w:bCs/>
          <w:b/>
        </w:rPr>
        <w:t xml:space="preserve">Client Feedback:</w:t>
      </w:r>
      <w:r>
        <w:t xml:space="preserve"> </w:t>
      </w:r>
      <w:r>
        <w:t xml:space="preserve">Surveys were distributed to clients across Melbourne to gauge satisfaction levels regarding clarity and professionalism.</w:t>
      </w:r>
    </w:p>
    <w:p>
      <w:pPr>
        <w:numPr>
          <w:ilvl w:val="0"/>
          <w:numId w:val="1002"/>
        </w:numPr>
        <w:pStyle w:val="Compact"/>
      </w:pPr>
      <w:r>
        <w:rPr>
          <w:bCs/>
          <w:b/>
        </w:rPr>
        <w:t xml:space="preserve">NAATI Compliance Check:</w:t>
      </w:r>
      <w:r>
        <w:t xml:space="preserve"> </w:t>
      </w:r>
      <w:r>
        <w:t xml:space="preserve">Verification of credentials and adherence to national standards.</w:t>
      </w:r>
    </w:p>
    <w:bookmarkEnd w:id="23"/>
    <w:bookmarkStart w:id="28" w:name="detailed-findings"/>
    <w:p>
      <w:pPr>
        <w:pStyle w:val="Heading2"/>
      </w:pPr>
      <w:r>
        <w:t xml:space="preserve">4. Detailed Findings</w:t>
      </w:r>
    </w:p>
    <w:bookmarkStart w:id="24" w:name="linguistic-accuracy"/>
    <w:p>
      <w:pPr>
        <w:pStyle w:val="Heading3"/>
      </w:pPr>
      <w:r>
        <w:t xml:space="preserve">4.1 Linguistic Accuracy</w:t>
      </w:r>
    </w:p>
    <w:p>
      <w:pPr>
        <w:pStyle w:val="FirstParagraph"/>
      </w:pPr>
      <w:r>
        <w:t xml:space="preserve">The Translator Interpreter services demonstrated a high level of proficiency in source and target languages. In the context of Australia Melbourne, where legal and medical terminology must be precise, the team showed strong command of domain-specific vocabulary. However, minor inconsistencies were noted in the translation of colloquialisms used in Victorian English, which occasionally led to slight ambiguities in community outreach materials.</w:t>
      </w:r>
    </w:p>
    <w:bookmarkEnd w:id="24"/>
    <w:bookmarkStart w:id="25" w:name="cultural-competency"/>
    <w:p>
      <w:pPr>
        <w:pStyle w:val="Heading3"/>
      </w:pPr>
      <w:r>
        <w:t xml:space="preserve">4.2 Cultural Competency</w:t>
      </w:r>
    </w:p>
    <w:p>
      <w:pPr>
        <w:pStyle w:val="FirstParagraph"/>
      </w:pPr>
      <w:r>
        <w:t xml:space="preserve">Cultural adaptation is paramount in Melbourne. The review found that the interpreters generally displayed excellent cultural awareness, particularly when dealing with sensitive topics in healthcare settings. They successfully navigated cultural nuances, ensuring that the intent of the message was preserved without causing offense. This is crucial for maintaining trust within Melbourne's diverse migrant communities.</w:t>
      </w:r>
    </w:p>
    <w:bookmarkEnd w:id="25"/>
    <w:bookmarkStart w:id="26" w:name="ethical-standards"/>
    <w:p>
      <w:pPr>
        <w:pStyle w:val="Heading3"/>
      </w:pPr>
      <w:r>
        <w:t xml:space="preserve">4.3 Ethical Standards</w:t>
      </w:r>
    </w:p>
    <w:p>
      <w:pPr>
        <w:pStyle w:val="FirstParagraph"/>
      </w:pPr>
      <w:r>
        <w:t xml:space="preserve">Adherence to confidentiality and impartiality was strictly maintained. The Translator Interpreter staff demonstrated a clear understanding of their role as neutral facilitators of communication. No breaches of the Code of Ethics were observed during the review period.</w:t>
      </w:r>
    </w:p>
    <w:bookmarkEnd w:id="26"/>
    <w:bookmarkStart w:id="27" w:name="operational-efficiency"/>
    <w:p>
      <w:pPr>
        <w:pStyle w:val="Heading3"/>
      </w:pPr>
      <w:r>
        <w:t xml:space="preserve">4.4 Operational Efficiency</w:t>
      </w:r>
    </w:p>
    <w:p>
      <w:pPr>
        <w:pStyle w:val="FirstParagraph"/>
      </w:pPr>
      <w:r>
        <w:t xml:space="preserve">Response times for booking interpreters in Melbourne were generally within acceptable limits. However, during peak hours, there were delays in providing simultaneous interpretation services for large community events.</w:t>
      </w:r>
    </w:p>
    <w:bookmarkEnd w:id="27"/>
    <w:bookmarkEnd w:id="28"/>
    <w:bookmarkStart w:id="29" w:name="quality-assessment-matrix"/>
    <w:p>
      <w:pPr>
        <w:pStyle w:val="Heading2"/>
      </w:pPr>
      <w:r>
        <w:t xml:space="preserve">5. Quality Assessment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Linguistic Accuracy</w:t>
            </w:r>
          </w:p>
        </w:tc>
        <w:tc>
          <w:tcPr/>
          <w:p>
            <w:pPr>
              <w:pStyle w:val="Compact"/>
              <w:jc w:val="left"/>
            </w:pPr>
            <w:r>
              <w:t xml:space="preserve">4.5</w:t>
            </w:r>
          </w:p>
        </w:tc>
        <w:tc>
          <w:tcPr/>
          <w:p>
            <w:pPr>
              <w:pStyle w:val="Compact"/>
              <w:jc w:val="left"/>
            </w:pPr>
            <w:r>
              <w:t xml:space="preserve">High accuracy; minor issues with local idioms.</w:t>
            </w:r>
          </w:p>
        </w:tc>
      </w:tr>
      <w:tr>
        <w:tc>
          <w:tcPr/>
          <w:p>
            <w:pPr>
              <w:pStyle w:val="Compact"/>
              <w:jc w:val="left"/>
            </w:pPr>
            <w:r>
              <w:t xml:space="preserve">Cultural Sensitivity</w:t>
            </w:r>
          </w:p>
        </w:tc>
        <w:tc>
          <w:tcPr/>
          <w:p>
            <w:pPr>
              <w:pStyle w:val="Compact"/>
              <w:jc w:val="left"/>
            </w:pPr>
            <w:r>
              <w:t xml:space="preserve">5.0</w:t>
            </w:r>
          </w:p>
        </w:tc>
        <w:tc>
          <w:tcPr/>
          <w:p>
            <w:pPr>
              <w:pStyle w:val="Compact"/>
              <w:jc w:val="left"/>
            </w:pPr>
            <w:r>
              <w:t xml:space="preserve">Excellent adaptation to Melbourne's multicultural environment.</w:t>
            </w:r>
          </w:p>
        </w:tc>
      </w:tr>
      <w:tr>
        <w:tc>
          <w:tcPr/>
          <w:p>
            <w:pPr>
              <w:pStyle w:val="Compact"/>
              <w:jc w:val="left"/>
            </w:pPr>
            <w:r>
              <w:t xml:space="preserve">Ethical Compliance</w:t>
            </w:r>
          </w:p>
        </w:tc>
        <w:tc>
          <w:tcPr/>
          <w:p>
            <w:pPr>
              <w:pStyle w:val="Compact"/>
              <w:jc w:val="left"/>
            </w:pPr>
            <w:r>
              <w:t xml:space="preserve">5.0</w:t>
            </w:r>
          </w:p>
        </w:tc>
        <w:tc>
          <w:tcPr/>
          <w:p>
            <w:pPr>
              <w:pStyle w:val="Compact"/>
              <w:jc w:val="left"/>
            </w:pPr>
            <w:r>
              <w:t xml:space="preserve">Strict adherence to confidentiality and neutrality.</w:t>
            </w:r>
          </w:p>
        </w:tc>
      </w:tr>
      <w:tr>
        <w:tc>
          <w:tcPr/>
          <w:p>
            <w:pPr>
              <w:pStyle w:val="Compact"/>
              <w:jc w:val="left"/>
            </w:pPr>
            <w:r>
              <w:t xml:space="preserve">Timeliness</w:t>
            </w:r>
          </w:p>
        </w:tc>
        <w:tc>
          <w:tcPr/>
          <w:p>
            <w:pPr>
              <w:pStyle w:val="Compact"/>
              <w:jc w:val="left"/>
            </w:pPr>
            <w:r>
              <w:t xml:space="preserve">3.5</w:t>
            </w:r>
          </w:p>
        </w:tc>
        <w:tc>
          <w:tcPr/>
          <w:p>
            <w:pPr>
              <w:pStyle w:val="Compact"/>
              <w:jc w:val="left"/>
            </w:pPr>
            <w:r>
              <w:t xml:space="preserve">Delays observed during peak demand periods.</w:t>
            </w:r>
          </w:p>
        </w:tc>
      </w:tr>
      <w:tr>
        <w:tc>
          <w:tcPr/>
          <w:p>
            <w:pPr>
              <w:pStyle w:val="Compact"/>
              <w:jc w:val="left"/>
            </w:pPr>
            <w:r>
              <w:t xml:space="preserve">Technical Proficiency</w:t>
            </w:r>
          </w:p>
        </w:tc>
        <w:tc>
          <w:tcPr/>
          <w:p>
            <w:pPr>
              <w:pStyle w:val="Compact"/>
              <w:jc w:val="left"/>
            </w:pPr>
            <w:r>
              <w:t xml:space="preserve">4.0</w:t>
            </w:r>
          </w:p>
        </w:tc>
        <w:tc>
          <w:tcPr/>
          <w:p>
            <w:pPr>
              <w:pStyle w:val="Compact"/>
              <w:jc w:val="left"/>
            </w:pPr>
            <w:r>
              <w:t xml:space="preserve">Good use of remote interpretation tools.</w:t>
            </w:r>
          </w:p>
        </w:tc>
      </w:tr>
    </w:tbl>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enhance the quality of Translator Interpreter services in Australia Melbourne:</w:t>
      </w:r>
    </w:p>
    <w:p>
      <w:pPr>
        <w:numPr>
          <w:ilvl w:val="0"/>
          <w:numId w:val="1003"/>
        </w:numPr>
        <w:pStyle w:val="Compact"/>
      </w:pPr>
      <w:r>
        <w:rPr>
          <w:bCs/>
          <w:b/>
        </w:rPr>
        <w:t xml:space="preserve">Training on Local Dialects:</w:t>
      </w:r>
      <w:r>
        <w:t xml:space="preserve"> </w:t>
      </w:r>
      <w:r>
        <w:t xml:space="preserve">Implement specialized training modules focusing on Victorian English colloquialisms and local administrative terminology to improve translation precision.</w:t>
      </w:r>
    </w:p>
    <w:p>
      <w:pPr>
        <w:numPr>
          <w:ilvl w:val="0"/>
          <w:numId w:val="1003"/>
        </w:numPr>
        <w:pStyle w:val="Compact"/>
      </w:pPr>
      <w:r>
        <w:rPr>
          <w:bCs/>
          <w:b/>
        </w:rPr>
        <w:t xml:space="preserve">Resource Allocation:</w:t>
      </w:r>
      <w:r>
        <w:t xml:space="preserve"> </w:t>
      </w:r>
      <w:r>
        <w:t xml:space="preserve">Increase the roster of on-call interpreters to mitigate delays during peak hours, ensuring consistent service levels across Melbourne.</w:t>
      </w:r>
    </w:p>
    <w:p>
      <w:pPr>
        <w:numPr>
          <w:ilvl w:val="0"/>
          <w:numId w:val="1003"/>
        </w:numPr>
        <w:pStyle w:val="Compact"/>
      </w:pPr>
      <w:r>
        <w:rPr>
          <w:bCs/>
          <w:b/>
        </w:rPr>
        <w:t xml:space="preserve">Continuous Professional Development:</w:t>
      </w:r>
      <w:r>
        <w:t xml:space="preserve"> </w:t>
      </w:r>
      <w:r>
        <w:t xml:space="preserve">Encourage ongoing NAATI professional development to keep pace with evolving language trends and regulatory requirements in Australia.</w:t>
      </w:r>
    </w:p>
    <w:bookmarkEnd w:id="30"/>
    <w:bookmarkStart w:id="31" w:name="conclusion"/>
    <w:p>
      <w:pPr>
        <w:pStyle w:val="Heading2"/>
      </w:pPr>
      <w:r>
        <w:t xml:space="preserve">7. Conclusion</w:t>
      </w:r>
    </w:p>
    <w:p>
      <w:pPr>
        <w:pStyle w:val="FirstParagraph"/>
      </w:pPr>
      <w:r>
        <w:t xml:space="preserve">In conclusion, the Translator Interpreter service under review demonstrates a strong commitment to quality and ethical practice. The team plays a vital role in bridging communication gaps within the diverse community of Australia Melbourne. While there are areas for improvement regarding operational efficiency and local linguistic nuances, the overall performance is commendable. This Peer Review Report confirms that the service meets the essential standards required for professional language mediation in the region.</w:t>
      </w:r>
    </w:p>
    <w:bookmarkEnd w:id="31"/>
    <w:p>
      <w:pPr>
        <w:pStyle w:val="BodyText"/>
      </w:pPr>
      <w:r>
        <w:rPr>
          <w:bCs/>
          <w:b/>
        </w:rPr>
        <w:t xml:space="preserve">Prepared by:</w:t>
      </w:r>
    </w:p>
    <w:p>
      <w:pPr>
        <w:pStyle w:val="BodyText"/>
      </w:pPr>
      <w:r>
        <w:t xml:space="preserve">Dr. Sarah Jenkins</w:t>
      </w:r>
    </w:p>
    <w:p>
      <w:pPr>
        <w:pStyle w:val="BodyText"/>
      </w:pPr>
      <w:r>
        <w:t xml:space="preserve">Senior Linguistic Auditor</w:t>
      </w:r>
    </w:p>
    <w:p>
      <w:pPr>
        <w:pStyle w:val="BodyText"/>
      </w:pPr>
      <w:r>
        <w:t xml:space="preserve">Independent Quality Assurance Panel</w:t>
      </w:r>
    </w:p>
    <w:p>
      <w:pPr>
        <w:pStyle w:val="BodyText"/>
      </w:pPr>
      <w:r>
        <w:t xml:space="preserve">Melbourne,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 Australia Melbourne</dc:title>
  <dc:creator/>
  <dc:language>en</dc:language>
  <cp:keywords/>
  <dcterms:created xsi:type="dcterms:W3CDTF">2026-10-10T09:15:43Z</dcterms:created>
  <dcterms:modified xsi:type="dcterms:W3CDTF">2026-10-10T09:15:43Z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