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Translator Interpreter Performance and Service Quality</w:t>
      </w:r>
    </w:p>
    <w:p>
      <w:pPr>
        <w:pStyle w:val="BodyText"/>
      </w:pPr>
      <w:r>
        <w:rPr>
          <w:bCs/>
          <w:b/>
        </w:rPr>
        <w:t xml:space="preserve">Location:</w:t>
      </w:r>
      <w:r>
        <w:t xml:space="preserve"> </w:t>
      </w:r>
      <w:r>
        <w:t xml:space="preserve">Australia Sydney</w:t>
      </w:r>
    </w:p>
    <w:p>
      <w:pPr>
        <w:pStyle w:val="BodyText"/>
      </w:pPr>
      <w:r>
        <w:rPr>
          <w:bCs/>
          <w:b/>
        </w:rPr>
        <w:t xml:space="preserve">Date:</w:t>
      </w:r>
      <w:r>
        <w:t xml:space="preserve"> </w:t>
      </w:r>
      <w:r>
        <w:t xml:space="preserve">October 24, 2023</w:t>
      </w:r>
    </w:p>
    <w:p>
      <w:pPr>
        <w:pStyle w:val="BodyText"/>
      </w:pPr>
      <w:r>
        <w:rPr>
          <w:bCs/>
          <w:b/>
        </w:rPr>
        <w:t xml:space="preserve">Review ID:</w:t>
      </w:r>
      <w:r>
        <w:t xml:space="preserve"> </w:t>
      </w:r>
      <w:r>
        <w:t xml:space="preserve">PR-SYD-2023-089</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assess the professional competency, linguistic accuracy, and cultural adaptability of a designated</w:t>
      </w:r>
      <w:r>
        <w:t xml:space="preserve"> </w:t>
      </w:r>
      <w:r>
        <w:rPr>
          <w:bCs/>
          <w:b/>
        </w:rPr>
        <w:t xml:space="preserve">Translator Interpreter</w:t>
      </w:r>
      <w:r>
        <w:t xml:space="preserve"> </w:t>
      </w:r>
      <w:r>
        <w:t xml:space="preserve">operating within the metropolitan region of</w:t>
      </w:r>
      <w:r>
        <w:t xml:space="preserve"> </w:t>
      </w:r>
      <w:r>
        <w:rPr>
          <w:bCs/>
          <w:b/>
        </w:rPr>
        <w:t xml:space="preserve">Australia Sydney</w:t>
      </w:r>
      <w:r>
        <w:t xml:space="preserve">. The review process adheres to the strict guidelines set forth by the National Accreditation Authority for Translators and Interpreters (NAATI) and aligns with the specific regulatory requirements of New South Wales (NSW) government agencies.</w:t>
      </w:r>
    </w:p>
    <w:p>
      <w:pPr>
        <w:pStyle w:val="BodyText"/>
      </w:pPr>
      <w:r>
        <w:t xml:space="preserve">The primary objective of this assessment is to ensure that the</w:t>
      </w:r>
      <w:r>
        <w:t xml:space="preserve"> </w:t>
      </w:r>
      <w:r>
        <w:rPr>
          <w:bCs/>
          <w:b/>
        </w:rPr>
        <w:t xml:space="preserve">Translator Interpreter</w:t>
      </w:r>
      <w:r>
        <w:t xml:space="preserve"> </w:t>
      </w:r>
      <w:r>
        <w:t xml:space="preserve">maintains the highest standards of confidentiality, impartiality, and precision when facilitating communication between English-speaking stakeholders and non-English-speaking clients in Sydney's diverse multicultural environment. This document details the methodology, findings, and recommendations resulting from a comprehensive audit of recent translation and interpretation assignments.</w:t>
      </w:r>
    </w:p>
    <w:bookmarkEnd w:id="21"/>
    <w:bookmarkStart w:id="22" w:name="scope-and-methodology"/>
    <w:p>
      <w:pPr>
        <w:pStyle w:val="Heading2"/>
      </w:pPr>
      <w:r>
        <w:t xml:space="preserve">2. Scope and Methodology</w:t>
      </w:r>
    </w:p>
    <w:p>
      <w:pPr>
        <w:pStyle w:val="FirstParagraph"/>
      </w:pPr>
      <w:r>
        <w:t xml:space="preserve">The scope of this</w:t>
      </w:r>
      <w:r>
        <w:t xml:space="preserve"> </w:t>
      </w:r>
      <w:r>
        <w:rPr>
          <w:bCs/>
          <w:b/>
        </w:rPr>
        <w:t xml:space="preserve">Peer Review Report</w:t>
      </w:r>
      <w:r>
        <w:t xml:space="preserve"> </w:t>
      </w:r>
      <w:r>
        <w:t xml:space="preserve">covers a sample of twenty (20) completed assignments executed by the</w:t>
      </w:r>
      <w:r>
        <w:t xml:space="preserve"> </w:t>
      </w:r>
      <w:r>
        <w:rPr>
          <w:bCs/>
          <w:b/>
        </w:rPr>
        <w:t xml:space="preserve">Translator Interpreter</w:t>
      </w:r>
      <w:r>
        <w:t xml:space="preserve"> </w:t>
      </w:r>
      <w:r>
        <w:t xml:space="preserve">over the past six months. These assignments were selected to represent the variety of contexts typical in</w:t>
      </w:r>
      <w:r>
        <w:t xml:space="preserve"> </w:t>
      </w:r>
      <w:r>
        <w:rPr>
          <w:bCs/>
          <w:b/>
        </w:rPr>
        <w:t xml:space="preserve">Australia Sydney</w:t>
      </w:r>
      <w:r>
        <w:t xml:space="preserve">, including legal proceedings at the Local Court of NSW, medical consultations at Sydney Local Health District facilities, and community liaison meetings.</w:t>
      </w:r>
    </w:p>
    <w:p>
      <w:pPr>
        <w:pStyle w:val="BodyText"/>
      </w:pPr>
      <w:r>
        <w:t xml:space="preserve">The methodology employed a dual-approach:</w:t>
      </w:r>
    </w:p>
    <w:p>
      <w:pPr>
        <w:numPr>
          <w:ilvl w:val="0"/>
          <w:numId w:val="1001"/>
        </w:numPr>
        <w:pStyle w:val="Compact"/>
      </w:pPr>
      <w:r>
        <w:rPr>
          <w:bCs/>
          <w:b/>
        </w:rPr>
        <w:t xml:space="preserve">Documentary Analysis:</w:t>
      </w:r>
      <w:r>
        <w:t xml:space="preserve"> </w:t>
      </w:r>
      <w:r>
        <w:t xml:space="preserve">A blind review of written translations against source texts to evaluate terminology accuracy, syntax, and formatting.</w:t>
      </w:r>
    </w:p>
    <w:p>
      <w:pPr>
        <w:numPr>
          <w:ilvl w:val="0"/>
          <w:numId w:val="1001"/>
        </w:numPr>
        <w:pStyle w:val="Compact"/>
      </w:pPr>
      <w:r>
        <w:rPr>
          <w:bCs/>
          <w:b/>
        </w:rPr>
        <w:t xml:space="preserve">Live Observation:</w:t>
      </w:r>
      <w:r>
        <w:t xml:space="preserve"> </w:t>
      </w:r>
      <w:r>
        <w:t xml:space="preserve">Direct observation of consecutive and simultaneous interpretation sessions to assess fluency, voice projection, and ethical conduct.</w:t>
      </w:r>
    </w:p>
    <w:p>
      <w:pPr>
        <w:pStyle w:val="FirstParagraph"/>
      </w:pPr>
      <w:r>
        <w:t xml:space="preserve">All evaluations were conducted by a senior accredited linguist with over fifteen years of experience in the Sydney market, ensuring that the feedback is relevant to local dialects and cultural nuances.</w:t>
      </w:r>
    </w:p>
    <w:bookmarkEnd w:id="22"/>
    <w:bookmarkStart w:id="23" w:name="evaluation-criteria"/>
    <w:p>
      <w:pPr>
        <w:pStyle w:val="Heading2"/>
      </w:pPr>
      <w:r>
        <w:t xml:space="preserve">3. Evaluation Criteria</w:t>
      </w:r>
    </w:p>
    <w:p>
      <w:pPr>
        <w:pStyle w:val="FirstParagraph"/>
      </w:pPr>
      <w:r>
        <w:t xml:space="preserve">The performance of the</w:t>
      </w:r>
      <w:r>
        <w:t xml:space="preserve"> </w:t>
      </w:r>
      <w:r>
        <w:rPr>
          <w:bCs/>
          <w:b/>
        </w:rPr>
        <w:t xml:space="preserve">Translator Interpreter</w:t>
      </w:r>
      <w:r>
        <w:t xml:space="preserve"> </w:t>
      </w:r>
      <w:r>
        <w:t xml:space="preserve">was measured against the following core competencies, which are critical for service providers in</w:t>
      </w:r>
      <w:r>
        <w:t xml:space="preserve"> </w:t>
      </w:r>
      <w:r>
        <w:rPr>
          <w:bCs/>
          <w:b/>
        </w:rPr>
        <w:t xml:space="preserve">Australia Sydney</w:t>
      </w:r>
      <w:r>
        <w:t xml:space="preserve">:</w:t>
      </w:r>
    </w:p>
    <w:p>
      <w:pPr>
        <w:numPr>
          <w:ilvl w:val="0"/>
          <w:numId w:val="1002"/>
        </w:numPr>
        <w:pStyle w:val="Compact"/>
      </w:pPr>
      <w:r>
        <w:rPr>
          <w:bCs/>
          <w:b/>
        </w:rPr>
        <w:t xml:space="preserve">Linguistic Accuracy:</w:t>
      </w:r>
      <w:r>
        <w:t xml:space="preserve"> </w:t>
      </w:r>
      <w:r>
        <w:t xml:space="preserve">Faithful rendering of meaning without addition, omission, or distortion.</w:t>
      </w:r>
    </w:p>
    <w:p>
      <w:pPr>
        <w:numPr>
          <w:ilvl w:val="0"/>
          <w:numId w:val="1002"/>
        </w:numPr>
        <w:pStyle w:val="Compact"/>
      </w:pPr>
      <w:r>
        <w:rPr>
          <w:bCs/>
          <w:b/>
        </w:rPr>
        <w:t xml:space="preserve">Cultural Competence:</w:t>
      </w:r>
      <w:r>
        <w:t xml:space="preserve"> </w:t>
      </w:r>
      <w:r>
        <w:t xml:space="preserve">Understanding of local Australian customs and the specific cultural background of the source language community.</w:t>
      </w:r>
    </w:p>
    <w:p>
      <w:pPr>
        <w:numPr>
          <w:ilvl w:val="0"/>
          <w:numId w:val="1002"/>
        </w:numPr>
        <w:pStyle w:val="Compact"/>
      </w:pPr>
      <w:r>
        <w:rPr>
          <w:bCs/>
          <w:b/>
        </w:rPr>
        <w:t xml:space="preserve">Professional Ethics:</w:t>
      </w:r>
      <w:r>
        <w:t xml:space="preserve"> </w:t>
      </w:r>
      <w:r>
        <w:t xml:space="preserve">Adherence to the NAATI Code of Ethics, particularly regarding confidentiality and conflict of interest.</w:t>
      </w:r>
    </w:p>
    <w:p>
      <w:pPr>
        <w:numPr>
          <w:ilvl w:val="0"/>
          <w:numId w:val="1002"/>
        </w:numPr>
        <w:pStyle w:val="Compact"/>
      </w:pPr>
      <w:r>
        <w:rPr>
          <w:bCs/>
          <w:b/>
        </w:rPr>
        <w:t xml:space="preserve">Terminology Management:</w:t>
      </w:r>
      <w:r>
        <w:t xml:space="preserve"> </w:t>
      </w:r>
      <w:r>
        <w:t xml:space="preserve">Correct usage of specialized terminology relevant to legal, medical, and technical fields in NSW.</w:t>
      </w:r>
    </w:p>
    <w:p>
      <w:pPr>
        <w:numPr>
          <w:ilvl w:val="0"/>
          <w:numId w:val="1002"/>
        </w:numPr>
        <w:pStyle w:val="Compact"/>
      </w:pPr>
      <w:r>
        <w:rPr>
          <w:bCs/>
          <w:b/>
        </w:rPr>
        <w:t xml:space="preserve">Delivery and Fluency:</w:t>
      </w:r>
      <w:r>
        <w:t xml:space="preserve"> </w:t>
      </w:r>
      <w:r>
        <w:t xml:space="preserve">Clarity of speech and appropriate pacing during interpretation.</w:t>
      </w:r>
    </w:p>
    <w:bookmarkEnd w:id="23"/>
    <w:bookmarkStart w:id="27" w:name="detailed-findings"/>
    <w:p>
      <w:pPr>
        <w:pStyle w:val="Heading2"/>
      </w:pPr>
      <w:r>
        <w:t xml:space="preserve">4. Detailed Findings</w:t>
      </w:r>
    </w:p>
    <w:bookmarkStart w:id="24" w:name="written-translation-quality"/>
    <w:p>
      <w:pPr>
        <w:pStyle w:val="Heading3"/>
      </w:pPr>
      <w:r>
        <w:t xml:space="preserve">4.1 Written Translation Quality</w:t>
      </w:r>
    </w:p>
    <w:p>
      <w:pPr>
        <w:pStyle w:val="FirstParagraph"/>
      </w:pPr>
      <w:r>
        <w:t xml:space="preserve">The review of written documents indicates a high level of proficiency. The</w:t>
      </w:r>
      <w:r>
        <w:t xml:space="preserve"> </w:t>
      </w:r>
      <w:r>
        <w:rPr>
          <w:bCs/>
          <w:b/>
        </w:rPr>
        <w:t xml:space="preserve">Translator Interpreter</w:t>
      </w:r>
      <w:r>
        <w:t xml:space="preserve"> </w:t>
      </w:r>
      <w:r>
        <w:t xml:space="preserve">demonstrated an excellent command of both the source and target languages. Specifically, the translation of legal affidavits showed precise handling of complex sentence structures. However, minor inconsistencies were noted in the formatting of dates and addresses, which should strictly follow Australian standards (e.g., DD/MM/YYYY) rather than the source country's format. This is a critical detail for official documentation in</w:t>
      </w:r>
      <w:r>
        <w:t xml:space="preserve"> </w:t>
      </w:r>
      <w:r>
        <w:rPr>
          <w:bCs/>
          <w:b/>
        </w:rPr>
        <w:t xml:space="preserve">Australia Sydney</w:t>
      </w:r>
      <w:r>
        <w:t xml:space="preserve">.</w:t>
      </w:r>
    </w:p>
    <w:bookmarkEnd w:id="24"/>
    <w:bookmarkStart w:id="25" w:name="interpretation-performance"/>
    <w:p>
      <w:pPr>
        <w:pStyle w:val="Heading3"/>
      </w:pPr>
      <w:r>
        <w:t xml:space="preserve">4.2 Interpretation Performance</w:t>
      </w:r>
    </w:p>
    <w:p>
      <w:pPr>
        <w:pStyle w:val="FirstParagraph"/>
      </w:pPr>
      <w:r>
        <w:t xml:space="preserve">During live observations, the</w:t>
      </w:r>
      <w:r>
        <w:t xml:space="preserve"> </w:t>
      </w:r>
      <w:r>
        <w:rPr>
          <w:bCs/>
          <w:b/>
        </w:rPr>
        <w:t xml:space="preserve">Translator Interpreter</w:t>
      </w:r>
      <w:r>
        <w:t xml:space="preserve"> </w:t>
      </w:r>
      <w:r>
        <w:t xml:space="preserve">exhibited strong active listening skills. The ability to manage rapid-fire questioning in a legal setting was commendable. The interpreter successfully navigated idiomatic expressions common in Sydney English, ensuring that the meaning was conveyed accurately to the client.</w:t>
      </w:r>
    </w:p>
    <w:p>
      <w:pPr>
        <w:pStyle w:val="BodyText"/>
      </w:pPr>
      <w:r>
        <w:t xml:space="preserve">One area for improvement was the management of overlapping speech. In high-pressure medical scenarios, the interpreter occasionally struggled to interject politely to request clarification, leading to brief delays. Training in assertive communication techniques specific to Australian healthcare environments is recommended.</w:t>
      </w:r>
    </w:p>
    <w:bookmarkEnd w:id="25"/>
    <w:bookmarkStart w:id="26" w:name="ethical-compliance"/>
    <w:p>
      <w:pPr>
        <w:pStyle w:val="Heading3"/>
      </w:pPr>
      <w:r>
        <w:t xml:space="preserve">4.3 Ethical Compliance</w:t>
      </w:r>
    </w:p>
    <w:p>
      <w:pPr>
        <w:pStyle w:val="FirstParagraph"/>
      </w:pPr>
      <w:r>
        <w:t xml:space="preserve">The</w:t>
      </w:r>
      <w:r>
        <w:t xml:space="preserve"> </w:t>
      </w:r>
      <w:r>
        <w:rPr>
          <w:bCs/>
          <w:b/>
        </w:rPr>
        <w:t xml:space="preserve">Peer Review Report</w:t>
      </w:r>
      <w:r>
        <w:t xml:space="preserve"> </w:t>
      </w:r>
      <w:r>
        <w:t xml:space="preserve">confirms that the</w:t>
      </w:r>
      <w:r>
        <w:t xml:space="preserve"> </w:t>
      </w:r>
      <w:r>
        <w:rPr>
          <w:bCs/>
          <w:b/>
        </w:rPr>
        <w:t xml:space="preserve">Translator Interpreter</w:t>
      </w:r>
      <w:r>
        <w:t xml:space="preserve"> </w:t>
      </w:r>
      <w:r>
        <w:t xml:space="preserve">strictly adhered to confidentiality protocols. No breaches of privacy were observed. The interpreter maintained a neutral stance, avoiding personal commentary or advocacy, which is essential for maintaining trust in professional settings across Sydney.</w:t>
      </w:r>
    </w:p>
    <w:bookmarkEnd w:id="26"/>
    <w:bookmarkEnd w:id="27"/>
    <w:bookmarkStart w:id="28" w:name="quantitative-assessment"/>
    <w:p>
      <w:pPr>
        <w:pStyle w:val="Heading2"/>
      </w:pPr>
      <w:r>
        <w:t xml:space="preserve">5. Quantitative Assessment</w:t>
      </w:r>
    </w:p>
    <w:p>
      <w:pPr>
        <w:pStyle w:val="FirstParagraph"/>
      </w:pPr>
      <w:r>
        <w:t xml:space="preserve">The following table summarizes the scoring based on a scale of 1 to 5, where 5 represents "Exceptional" and 1 represents "Unsatisfactory."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Score (1-5)</w:t>
            </w:r>
          </w:p>
        </w:tc>
        <w:tc>
          <w:tcPr/>
          <w:p>
            <w:pPr>
              <w:pStyle w:val="Compact"/>
              <w:jc w:val="left"/>
            </w:pPr>
            <w:r>
              <w:t xml:space="preserve">Comments</w:t>
            </w:r>
          </w:p>
        </w:tc>
      </w:tr>
      <w:tr>
        <w:tc>
          <w:tcPr/>
          <w:p>
            <w:pPr>
              <w:pStyle w:val="Compact"/>
              <w:jc w:val="left"/>
            </w:pPr>
            <w:r>
              <w:t xml:space="preserve">Linguistic Accuracy</w:t>
            </w:r>
          </w:p>
        </w:tc>
        <w:tc>
          <w:tcPr/>
          <w:p>
            <w:pPr>
              <w:pStyle w:val="Compact"/>
              <w:jc w:val="left"/>
            </w:pPr>
            <w:r>
              <w:t xml:space="preserve">4.8</w:t>
            </w:r>
          </w:p>
        </w:tc>
        <w:tc>
          <w:tcPr/>
          <w:p>
            <w:pPr>
              <w:pStyle w:val="Compact"/>
              <w:jc w:val="left"/>
            </w:pPr>
            <w:r>
              <w:t xml:space="preserve">High precision; minor formatting errors.</w:t>
            </w:r>
          </w:p>
        </w:tc>
      </w:tr>
      <w:tr>
        <w:tc>
          <w:tcPr/>
          <w:p>
            <w:pPr>
              <w:pStyle w:val="Compact"/>
              <w:jc w:val="left"/>
            </w:pPr>
            <w:r>
              <w:t xml:space="preserve">Cultural Competence</w:t>
            </w:r>
          </w:p>
        </w:tc>
        <w:tc>
          <w:tcPr/>
          <w:p>
            <w:pPr>
              <w:pStyle w:val="Compact"/>
              <w:jc w:val="left"/>
            </w:pPr>
            <w:r>
              <w:t xml:space="preserve">4.5</w:t>
            </w:r>
          </w:p>
        </w:tc>
        <w:tc>
          <w:tcPr/>
          <w:p>
            <w:pPr>
              <w:pStyle w:val="Compact"/>
              <w:jc w:val="left"/>
            </w:pPr>
            <w:r>
              <w:t xml:space="preserve">Strong understanding of Sydney context.</w:t>
            </w:r>
          </w:p>
        </w:tc>
      </w:tr>
      <w:tr>
        <w:tc>
          <w:tcPr/>
          <w:p>
            <w:pPr>
              <w:pStyle w:val="Compact"/>
              <w:jc w:val="left"/>
            </w:pPr>
            <w:r>
              <w:t xml:space="preserve">Professional Ethics</w:t>
            </w:r>
          </w:p>
        </w:tc>
        <w:tc>
          <w:tcPr/>
          <w:p>
            <w:pPr>
              <w:pStyle w:val="Compact"/>
              <w:jc w:val="left"/>
            </w:pPr>
            <w:r>
              <w:t xml:space="preserve">5.0</w:t>
            </w:r>
          </w:p>
        </w:tc>
        <w:tc>
          <w:tcPr/>
          <w:p>
            <w:pPr>
              <w:pStyle w:val="Compact"/>
              <w:jc w:val="left"/>
            </w:pPr>
            <w:r>
              <w:t xml:space="preserve">Full compliance with NAATI standards.</w:t>
            </w:r>
          </w:p>
        </w:tc>
      </w:tr>
      <w:tr>
        <w:tc>
          <w:tcPr/>
          <w:p>
            <w:pPr>
              <w:pStyle w:val="Compact"/>
              <w:jc w:val="left"/>
            </w:pPr>
            <w:r>
              <w:t xml:space="preserve">Terminology Management</w:t>
            </w:r>
          </w:p>
        </w:tc>
        <w:tc>
          <w:tcPr/>
          <w:p>
            <w:pPr>
              <w:pStyle w:val="Compact"/>
              <w:jc w:val="left"/>
            </w:pPr>
            <w:r>
              <w:t xml:space="preserve">4.6</w:t>
            </w:r>
          </w:p>
        </w:tc>
        <w:tc>
          <w:tcPr/>
          <w:p>
            <w:pPr>
              <w:pStyle w:val="Compact"/>
              <w:jc w:val="left"/>
            </w:pPr>
            <w:r>
              <w:t xml:space="preserve">Excellent legal and medical vocabulary.</w:t>
            </w:r>
          </w:p>
        </w:tc>
      </w:tr>
      <w:tr>
        <w:tc>
          <w:tcPr/>
          <w:p>
            <w:pPr>
              <w:pStyle w:val="Compact"/>
              <w:jc w:val="left"/>
            </w:pPr>
            <w:r>
              <w:t xml:space="preserve">Delivery and Fluency</w:t>
            </w:r>
          </w:p>
        </w:tc>
        <w:tc>
          <w:tcPr/>
          <w:p>
            <w:pPr>
              <w:pStyle w:val="Compact"/>
              <w:jc w:val="left"/>
            </w:pPr>
            <w:r>
              <w:t xml:space="preserve">4.2</w:t>
            </w:r>
          </w:p>
        </w:tc>
        <w:tc>
          <w:tcPr/>
          <w:p>
            <w:pPr>
              <w:pStyle w:val="Compact"/>
              <w:jc w:val="left"/>
            </w:pPr>
            <w:r>
              <w:t xml:space="preserve">Needs improvement in managing interruptions.</w:t>
            </w:r>
          </w:p>
        </w:tc>
      </w:tr>
    </w:tbl>
    <w:bookmarkEnd w:id="28"/>
    <w:bookmarkStart w:id="29" w:name="recommendations"/>
    <w:p>
      <w:pPr>
        <w:pStyle w:val="Heading2"/>
      </w:pPr>
      <w:r>
        <w:t xml:space="preserve">6. Recommendations</w:t>
      </w:r>
    </w:p>
    <w:p>
      <w:pPr>
        <w:pStyle w:val="FirstParagraph"/>
      </w:pPr>
      <w:r>
        <w:t xml:space="preserve">Based on the findings of this</w:t>
      </w:r>
      <w:r>
        <w:t xml:space="preserve"> </w:t>
      </w:r>
      <w:r>
        <w:rPr>
          <w:bCs/>
          <w:b/>
        </w:rPr>
        <w:t xml:space="preserve">Peer Review Report</w:t>
      </w:r>
      <w:r>
        <w:t xml:space="preserve">, the following actions are recommended for the</w:t>
      </w:r>
      <w:r>
        <w:t xml:space="preserve"> </w:t>
      </w:r>
      <w:r>
        <w:rPr>
          <w:bCs/>
          <w:b/>
        </w:rPr>
        <w:t xml:space="preserve">Translator Interpreter</w:t>
      </w:r>
      <w:r>
        <w:t xml:space="preserve"> </w:t>
      </w:r>
      <w:r>
        <w:t xml:space="preserve">to further enhance their service delivery in</w:t>
      </w:r>
      <w:r>
        <w:t xml:space="preserve"> </w:t>
      </w:r>
      <w:r>
        <w:rPr>
          <w:bCs/>
          <w:b/>
        </w:rPr>
        <w:t xml:space="preserve">Australia Sydney</w:t>
      </w:r>
      <w:r>
        <w:t xml:space="preserve">:</w:t>
      </w:r>
    </w:p>
    <w:p>
      <w:pPr>
        <w:numPr>
          <w:ilvl w:val="0"/>
          <w:numId w:val="1003"/>
        </w:numPr>
        <w:pStyle w:val="Compact"/>
      </w:pPr>
      <w:r>
        <w:rPr>
          <w:bCs/>
          <w:b/>
        </w:rPr>
        <w:t xml:space="preserve">Formatting Training:</w:t>
      </w:r>
      <w:r>
        <w:t xml:space="preserve"> </w:t>
      </w:r>
      <w:r>
        <w:t xml:space="preserve">Complete a short course on Australian business and legal document formatting standards to eliminate minor errors in written translations.</w:t>
      </w:r>
    </w:p>
    <w:p>
      <w:pPr>
        <w:numPr>
          <w:ilvl w:val="0"/>
          <w:numId w:val="1003"/>
        </w:numPr>
        <w:pStyle w:val="Compact"/>
      </w:pPr>
      <w:r>
        <w:rPr>
          <w:bCs/>
          <w:b/>
        </w:rPr>
        <w:t xml:space="preserve">Assertiveness Workshops:</w:t>
      </w:r>
      <w:r>
        <w:t xml:space="preserve"> </w:t>
      </w:r>
      <w:r>
        <w:t xml:space="preserve">Attend workshops focused on managing difficult communication dynamics in high-stakes environments, such as emergency rooms or courtrooms.</w:t>
      </w:r>
    </w:p>
    <w:p>
      <w:pPr>
        <w:numPr>
          <w:ilvl w:val="0"/>
          <w:numId w:val="1003"/>
        </w:numPr>
        <w:pStyle w:val="Compact"/>
      </w:pPr>
      <w:r>
        <w:rPr>
          <w:bCs/>
          <w:b/>
        </w:rPr>
        <w:t xml:space="preserve">Continuous Professional Development (CPD):</w:t>
      </w:r>
      <w:r>
        <w:t xml:space="preserve"> </w:t>
      </w:r>
      <w:r>
        <w:t xml:space="preserve">Engage in regular CPD activities related to NSW legislation updates to ensure terminology remains current.</w:t>
      </w:r>
    </w:p>
    <w:bookmarkEnd w:id="29"/>
    <w:bookmarkStart w:id="30" w:name="conclusion"/>
    <w:p>
      <w:pPr>
        <w:pStyle w:val="Heading2"/>
      </w:pPr>
      <w:r>
        <w:t xml:space="preserve">7.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Translator Interpreter</w:t>
      </w:r>
      <w:r>
        <w:t xml:space="preserve"> </w:t>
      </w:r>
      <w:r>
        <w:t xml:space="preserve">is a highly competent professional who meets the rigorous standards required for operation in</w:t>
      </w:r>
      <w:r>
        <w:t xml:space="preserve"> </w:t>
      </w:r>
      <w:r>
        <w:rPr>
          <w:bCs/>
          <w:b/>
        </w:rPr>
        <w:t xml:space="preserve">Australia Sydney</w:t>
      </w:r>
      <w:r>
        <w:t xml:space="preserve">. The minor areas identified for improvement are developmental in nature and do not detract from the overall quality of service provided. With the implementation of the recommended training, the interpreter is well-positioned to continue providing exceptional linguistic support to the diverse communities of Sydney.</w:t>
      </w:r>
    </w:p>
    <w:bookmarkEnd w:id="30"/>
    <w:p>
      <w:pPr>
        <w:pStyle w:val="BodyText"/>
      </w:pPr>
      <w:r>
        <w:rPr>
          <w:bCs/>
          <w:b/>
        </w:rPr>
        <w:t xml:space="preserve">Reviewed By:</w:t>
      </w:r>
    </w:p>
    <w:p>
      <w:pPr>
        <w:pStyle w:val="BodyText"/>
      </w:pPr>
      <w:r>
        <w:t xml:space="preserve">Senior Accredited Linguist</w:t>
      </w:r>
    </w:p>
    <w:p>
      <w:pPr>
        <w:pStyle w:val="BodyText"/>
      </w:pPr>
      <w:r>
        <w:rPr>
          <w:bCs/>
          <w:b/>
        </w:rPr>
        <w:t xml:space="preserve">Date of Submission:</w:t>
      </w:r>
    </w:p>
    <w:p>
      <w:pPr>
        <w:pStyle w:val="BodyText"/>
      </w:pP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dc:title>
  <dc:creator/>
  <dc:language>en</dc:language>
  <cp:keywords/>
  <dcterms:created xsi:type="dcterms:W3CDTF">2026-10-10T06:56:31Z</dcterms:created>
  <dcterms:modified xsi:type="dcterms:W3CDTF">2026-10-10T06:56:31Z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