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China</w:t>
      </w:r>
      <w:r>
        <w:t xml:space="preserve"> </w:t>
      </w:r>
      <w:r>
        <w:t xml:space="preserve">Shanghai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Translator Interpreter Services</w:t>
      </w:r>
    </w:p>
    <w:p>
      <w:pPr>
        <w:pStyle w:val="BodyText"/>
      </w:pPr>
      <w:r>
        <w:rPr>
          <w:bCs/>
          <w:b/>
        </w:rPr>
        <w:t xml:space="preserve">Location:</w:t>
      </w:r>
      <w:r>
        <w:t xml:space="preserve"> </w:t>
      </w:r>
      <w:r>
        <w:t xml:space="preserve">China Shanghai</w:t>
      </w:r>
    </w:p>
    <w:p>
      <w:pPr>
        <w:pStyle w:val="BodyText"/>
      </w:pPr>
      <w:r>
        <w:rPr>
          <w:bCs/>
          <w:b/>
        </w:rPr>
        <w:t xml:space="preserve">Date:</w:t>
      </w:r>
      <w:r>
        <w:t xml:space="preserve"> </w:t>
      </w:r>
      <w:r>
        <w:t xml:space="preserve">October 24, 2023</w:t>
      </w:r>
    </w:p>
    <w:p>
      <w:pPr>
        <w:pStyle w:val="BodyText"/>
      </w:pPr>
      <w:r>
        <w:rPr>
          <w:bCs/>
          <w:b/>
        </w:rPr>
        <w:t xml:space="preserve">Report ID:</w:t>
      </w:r>
      <w:r>
        <w:t xml:space="preserve"> </w:t>
      </w:r>
      <w:r>
        <w:t xml:space="preserve">SH-TR-2023-001</w:t>
      </w:r>
    </w:p>
    <w:bookmarkEnd w:id="20"/>
    <w:bookmarkStart w:id="21" w:name="executive-summary"/>
    <w:p>
      <w:pPr>
        <w:pStyle w:val="Heading2"/>
      </w:pPr>
      <w:r>
        <w:t xml:space="preserve">1. Executive Summary</w:t>
      </w:r>
    </w:p>
    <w:p>
      <w:pPr>
        <w:pStyle w:val="FirstParagraph"/>
      </w:pPr>
      <w:r>
        <w:t xml:space="preserve">This Peer Review Report has been commissioned to evaluate the operational standards, linguistic accuracy, and cultural competency of the designated Translator Interpreter team operating within the dynamic business environment of China Shanghai. As a global financial hub and a critical gateway for international trade, Shanghai demands a level of translation and interpretation excellence that transcends mere linguistic conversion. This report details the findings of a comprehensive peer review conducted over a three-month period, focusing on the team's ability to facilitate seamless communication between multinational stakeholders and local Chinese entities.</w:t>
      </w:r>
    </w:p>
    <w:bookmarkEnd w:id="21"/>
    <w:bookmarkStart w:id="22" w:name="scope-and-methodology"/>
    <w:p>
      <w:pPr>
        <w:pStyle w:val="Heading2"/>
      </w:pPr>
      <w:r>
        <w:t xml:space="preserve">2. Scope and Methodology</w:t>
      </w:r>
    </w:p>
    <w:p>
      <w:pPr>
        <w:pStyle w:val="FirstParagraph"/>
      </w:pPr>
      <w:r>
        <w:t xml:space="preserve">The scope of this review encompasses both written translation and consecutive/simultaneous interpretation services provided during high-stakes negotiations, legal proceedings, and technical workshops in Shanghai. The methodology involved a triangulation of data sources:</w:t>
      </w:r>
    </w:p>
    <w:p>
      <w:pPr>
        <w:numPr>
          <w:ilvl w:val="0"/>
          <w:numId w:val="1001"/>
        </w:numPr>
        <w:pStyle w:val="Compact"/>
      </w:pPr>
      <w:r>
        <w:t xml:space="preserve">Blind peer assessment of translated documents by senior linguists.</w:t>
      </w:r>
    </w:p>
    <w:p>
      <w:pPr>
        <w:numPr>
          <w:ilvl w:val="0"/>
          <w:numId w:val="1001"/>
        </w:numPr>
        <w:pStyle w:val="Compact"/>
      </w:pPr>
      <w:r>
        <w:t xml:space="preserve">Live observation of interpretation sessions at major Shanghai business forums.</w:t>
      </w:r>
    </w:p>
    <w:p>
      <w:pPr>
        <w:numPr>
          <w:ilvl w:val="0"/>
          <w:numId w:val="1001"/>
        </w:numPr>
        <w:pStyle w:val="Compact"/>
      </w:pPr>
      <w:r>
        <w:t xml:space="preserve">Feedback surveys from client stakeholders regarding clarity and cultural appropriateness.</w:t>
      </w:r>
    </w:p>
    <w:p>
      <w:pPr>
        <w:pStyle w:val="FirstParagraph"/>
      </w:pPr>
      <w:r>
        <w:t xml:space="preserve">Special emphasis was placed on the nuances of the Shanghai dialect versus Standard Mandarin, as well as the specific regulatory terminology required for business operations in the People's Republic of China.</w:t>
      </w:r>
    </w:p>
    <w:bookmarkEnd w:id="22"/>
    <w:bookmarkStart w:id="23" w:name="linguistic-accuracy-and-terminology"/>
    <w:p>
      <w:pPr>
        <w:pStyle w:val="Heading2"/>
      </w:pPr>
      <w:r>
        <w:t xml:space="preserve">3. Linguistic Accuracy and Terminology</w:t>
      </w:r>
    </w:p>
    <w:p>
      <w:pPr>
        <w:pStyle w:val="FirstParagraph"/>
      </w:pPr>
      <w:r>
        <w:t xml:space="preserve">The Translator Interpreter team demonstrated a high degree of proficiency in both source and target languages. However, the review identified critical areas regarding terminology consistency. In the context of China Shanghai, where legal and financial frameworks are complex, precision is paramount.</w:t>
      </w:r>
    </w:p>
    <w:p>
      <w:pPr>
        <w:pStyle w:val="BodyText"/>
      </w:pPr>
      <w:r>
        <w:rPr>
          <w:bCs/>
          <w:b/>
        </w:rPr>
        <w:t xml:space="preserve">Findings:</w:t>
      </w:r>
    </w:p>
    <w:p>
      <w:pPr>
        <w:numPr>
          <w:ilvl w:val="0"/>
          <w:numId w:val="1002"/>
        </w:numPr>
        <w:pStyle w:val="Compact"/>
      </w:pPr>
      <w:r>
        <w:rPr>
          <w:bCs/>
          <w:b/>
        </w:rPr>
        <w:t xml:space="preserve">Legal Translation:</w:t>
      </w:r>
      <w:r>
        <w:t xml:space="preserve"> </w:t>
      </w:r>
      <w:r>
        <w:t xml:space="preserve">The team successfully navigated the intricacies of Chinese contract law. However, occasional inconsistencies were noted in the translation of specific clauses related to intellectual property rights, which are heavily regulated in Shanghai's tech sector.</w:t>
      </w:r>
    </w:p>
    <w:p>
      <w:pPr>
        <w:numPr>
          <w:ilvl w:val="0"/>
          <w:numId w:val="1002"/>
        </w:numPr>
        <w:pStyle w:val="Compact"/>
      </w:pPr>
      <w:r>
        <w:rPr>
          <w:bCs/>
          <w:b/>
        </w:rPr>
        <w:t xml:space="preserve">Technical Interpretation:</w:t>
      </w:r>
      <w:r>
        <w:t xml:space="preserve"> </w:t>
      </w:r>
      <w:r>
        <w:t xml:space="preserve">During technical workshops, the interpreters showed strong command of engineering terminology. Yet, there were instances where localized Shanghai industry slang was not adequately bridged for international clients, leading to minor confusion.</w:t>
      </w:r>
    </w:p>
    <w:bookmarkEnd w:id="23"/>
    <w:bookmarkStart w:id="24" w:name="Xdb0d16c1f8b64bed3c0f58a81a111987313d3f5"/>
    <w:p>
      <w:pPr>
        <w:pStyle w:val="Heading2"/>
      </w:pPr>
      <w:r>
        <w:t xml:space="preserve">4. Cultural Competency and Contextual Awareness</w:t>
      </w:r>
    </w:p>
    <w:p>
      <w:pPr>
        <w:pStyle w:val="FirstParagraph"/>
      </w:pPr>
      <w:r>
        <w:t xml:space="preserve">A Translator Interpreter in China Shanghai must function not only as a linguistic conduit but also as a cultural mediator. The peer review assessed the team's ability to navigate the high-context communication style prevalent in Chinese business culture.</w:t>
      </w:r>
    </w:p>
    <w:p>
      <w:pPr>
        <w:pStyle w:val="BodyText"/>
      </w:pPr>
      <w:r>
        <w:rPr>
          <w:bCs/>
          <w:b/>
        </w:rPr>
        <w:t xml:space="preserve">Observations:</w:t>
      </w:r>
    </w:p>
    <w:p>
      <w:pPr>
        <w:pStyle w:val="BodyText"/>
      </w:pPr>
      <w:r>
        <w:t xml:space="preserve">The team generally excelled in maintaining the appropriate tone and register required for hierarchical business interactions. They effectively managed the concept of "face" (mianzi) during negotiations, ensuring that translations did not inadvertently cause embarrassment or offense. However, the report notes that newer interpreters occasionally struggled with the rapid pace of informal networking events common in Shanghai's business districts, such as the Lujiazui area, where implicit meanings often carry more weight than explicit words.</w:t>
      </w:r>
    </w:p>
    <w:bookmarkEnd w:id="24"/>
    <w:bookmarkStart w:id="25" w:name="performance-metrics"/>
    <w:p>
      <w:pPr>
        <w:pStyle w:val="Heading2"/>
      </w:pPr>
      <w:r>
        <w:t xml:space="preserve">5.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Target</w:t>
            </w:r>
          </w:p>
        </w:tc>
        <w:tc>
          <w:tcPr/>
          <w:p>
            <w:pPr>
              <w:pStyle w:val="Compact"/>
              <w:jc w:val="left"/>
            </w:pPr>
            <w:r>
              <w:t xml:space="preserve">Actual Performance</w:t>
            </w:r>
          </w:p>
        </w:tc>
        <w:tc>
          <w:tcPr/>
          <w:p>
            <w:pPr>
              <w:pStyle w:val="Compact"/>
              <w:jc w:val="left"/>
            </w:pPr>
            <w:r>
              <w:t xml:space="preserve">Status</w:t>
            </w:r>
          </w:p>
        </w:tc>
      </w:tr>
      <w:tr>
        <w:tc>
          <w:tcPr/>
          <w:p>
            <w:pPr>
              <w:pStyle w:val="Compact"/>
              <w:jc w:val="left"/>
            </w:pPr>
            <w:r>
              <w:t xml:space="preserve">Translation Accuracy Rate</w:t>
            </w:r>
          </w:p>
        </w:tc>
        <w:tc>
          <w:tcPr/>
          <w:p>
            <w:pPr>
              <w:pStyle w:val="Compact"/>
              <w:jc w:val="left"/>
            </w:pPr>
            <w:r>
              <w:t xml:space="preserve">98%</w:t>
            </w:r>
          </w:p>
        </w:tc>
        <w:tc>
          <w:tcPr/>
          <w:p>
            <w:pPr>
              <w:pStyle w:val="Compact"/>
              <w:jc w:val="left"/>
            </w:pPr>
            <w:r>
              <w:t xml:space="preserve">96.5%</w:t>
            </w:r>
          </w:p>
        </w:tc>
        <w:tc>
          <w:tcPr/>
          <w:p>
            <w:pPr>
              <w:pStyle w:val="Compact"/>
              <w:jc w:val="left"/>
            </w:pPr>
            <w:r>
              <w:t xml:space="preserve">Needs Improvement</w:t>
            </w:r>
          </w:p>
        </w:tc>
      </w:tr>
      <w:tr>
        <w:tc>
          <w:tcPr/>
          <w:p>
            <w:pPr>
              <w:pStyle w:val="Compact"/>
              <w:jc w:val="left"/>
            </w:pPr>
            <w:r>
              <w:t xml:space="preserve">Interpretation Latency</w:t>
            </w:r>
          </w:p>
        </w:tc>
        <w:tc>
          <w:tcPr/>
          <w:p>
            <w:pPr>
              <w:pStyle w:val="Compact"/>
              <w:jc w:val="left"/>
            </w:pPr>
            <w:r>
              <w:t xml:space="preserve">&lt; 3 seconds</w:t>
            </w:r>
          </w:p>
        </w:tc>
        <w:tc>
          <w:tcPr/>
          <w:p>
            <w:pPr>
              <w:pStyle w:val="Compact"/>
              <w:jc w:val="left"/>
            </w:pPr>
            <w:r>
              <w:t xml:space="preserve">2.8 seconds</w:t>
            </w:r>
          </w:p>
        </w:tc>
        <w:tc>
          <w:tcPr/>
          <w:p>
            <w:pPr>
              <w:pStyle w:val="Compact"/>
              <w:jc w:val="left"/>
            </w:pPr>
            <w:r>
              <w:t xml:space="preserve">Met</w:t>
            </w:r>
          </w:p>
        </w:tc>
      </w:tr>
      <w:tr>
        <w:tc>
          <w:tcPr/>
          <w:p>
            <w:pPr>
              <w:pStyle w:val="Compact"/>
              <w:jc w:val="left"/>
            </w:pPr>
            <w:r>
              <w:t xml:space="preserve">Cultural Appropriateness Score</w:t>
            </w:r>
          </w:p>
        </w:tc>
        <w:tc>
          <w:tcPr/>
          <w:p>
            <w:pPr>
              <w:pStyle w:val="Compact"/>
              <w:jc w:val="left"/>
            </w:pPr>
            <w:r>
              <w:t xml:space="preserve">9/10</w:t>
            </w:r>
          </w:p>
        </w:tc>
        <w:tc>
          <w:tcPr/>
          <w:p>
            <w:pPr>
              <w:pStyle w:val="Compact"/>
              <w:jc w:val="left"/>
            </w:pPr>
            <w:r>
              <w:t xml:space="preserve">9.2/10</w:t>
            </w:r>
          </w:p>
        </w:tc>
        <w:tc>
          <w:tcPr/>
          <w:p>
            <w:pPr>
              <w:pStyle w:val="Compact"/>
              <w:jc w:val="left"/>
            </w:pPr>
            <w:r>
              <w:t xml:space="preserve">Exceeded</w:t>
            </w:r>
          </w:p>
        </w:tc>
      </w:tr>
      <w:tr>
        <w:tc>
          <w:tcPr/>
          <w:p>
            <w:pPr>
              <w:pStyle w:val="Compact"/>
              <w:jc w:val="left"/>
            </w:pPr>
            <w:r>
              <w:t xml:space="preserve">Client Satisfaction (Shanghai Region)</w:t>
            </w:r>
          </w:p>
        </w:tc>
        <w:tc>
          <w:tcPr/>
          <w:p>
            <w:pPr>
              <w:pStyle w:val="Compact"/>
              <w:jc w:val="left"/>
            </w:pPr>
            <w:r>
              <w:t xml:space="preserve">4.5/5</w:t>
            </w:r>
          </w:p>
        </w:tc>
        <w:tc>
          <w:tcPr/>
          <w:p>
            <w:pPr>
              <w:pStyle w:val="Compact"/>
              <w:jc w:val="left"/>
            </w:pPr>
            <w:r>
              <w:t xml:space="preserve">4.3/5</w:t>
            </w:r>
          </w:p>
        </w:tc>
        <w:tc>
          <w:tcPr/>
          <w:p>
            <w:pPr>
              <w:pStyle w:val="Compact"/>
              <w:jc w:val="left"/>
            </w:pPr>
            <w:r>
              <w:t xml:space="preserve">Met</w:t>
            </w:r>
          </w:p>
        </w:tc>
      </w:tr>
    </w:tbl>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proposed to enhance the quality of Translator Interpreter services in China Shanghai:</w:t>
      </w:r>
    </w:p>
    <w:p>
      <w:pPr>
        <w:numPr>
          <w:ilvl w:val="0"/>
          <w:numId w:val="1003"/>
        </w:numPr>
        <w:pStyle w:val="Compact"/>
      </w:pPr>
      <w:r>
        <w:rPr>
          <w:bCs/>
          <w:b/>
        </w:rPr>
        <w:t xml:space="preserve">Specialized Training:</w:t>
      </w:r>
      <w:r>
        <w:t xml:space="preserve"> </w:t>
      </w:r>
      <w:r>
        <w:t xml:space="preserve">Implement mandatory workshops on Shanghai-specific regulatory updates and industry slang to ensure terminological precision.</w:t>
      </w:r>
    </w:p>
    <w:p>
      <w:pPr>
        <w:numPr>
          <w:ilvl w:val="0"/>
          <w:numId w:val="1003"/>
        </w:numPr>
        <w:pStyle w:val="Compact"/>
      </w:pPr>
      <w:r>
        <w:rPr>
          <w:bCs/>
          <w:b/>
        </w:rPr>
        <w:t xml:space="preserve">Mentorship Program:</w:t>
      </w:r>
      <w:r>
        <w:t xml:space="preserve"> </w:t>
      </w:r>
      <w:r>
        <w:t xml:space="preserve">Pair junior interpreters with senior linguists to better navigate the cultural subtleties of high-stakes negotiations.</w:t>
      </w:r>
    </w:p>
    <w:p>
      <w:pPr>
        <w:numPr>
          <w:ilvl w:val="0"/>
          <w:numId w:val="1003"/>
        </w:numPr>
        <w:pStyle w:val="Compact"/>
      </w:pPr>
      <w:r>
        <w:rPr>
          <w:bCs/>
          <w:b/>
        </w:rPr>
        <w:t xml:space="preserve">Quality Assurance Protocol:</w:t>
      </w:r>
      <w:r>
        <w:t xml:space="preserve"> </w:t>
      </w:r>
      <w:r>
        <w:t xml:space="preserve">Establish a rigorous double-check system for all legal and financial translations to address the accuracy gap identified in Section 3.</w:t>
      </w:r>
    </w:p>
    <w:bookmarkEnd w:id="26"/>
    <w:bookmarkStart w:id="27" w:name="conclusion"/>
    <w:p>
      <w:pPr>
        <w:pStyle w:val="Heading2"/>
      </w:pPr>
      <w:r>
        <w:t xml:space="preserve">7. Conclusion</w:t>
      </w:r>
    </w:p>
    <w:p>
      <w:pPr>
        <w:pStyle w:val="FirstParagraph"/>
      </w:pPr>
      <w:r>
        <w:t xml:space="preserve">The Translator Interpreter team operating in China Shanghai demonstrates a strong foundation of linguistic skill and cultural awareness. While there are areas requiring refinement, particularly in technical terminology and consistency, the overall performance aligns with the high standards expected in this global metropolis. By implementing the recommendations outlined in this Peer Review Report, the team can further solidify its role as a vital asset in facilitating international business success in Shanghai.</w:t>
      </w:r>
    </w:p>
    <w:bookmarkEnd w:id="27"/>
    <w:p>
      <w:pPr>
        <w:pStyle w:val="BodyText"/>
      </w:pPr>
      <w:r>
        <w:rPr>
          <w:bCs/>
          <w:b/>
        </w:rPr>
        <w:t xml:space="preserve">Prepared by:</w:t>
      </w:r>
    </w:p>
    <w:p>
      <w:pPr>
        <w:pStyle w:val="BodyText"/>
      </w:pPr>
      <w:r>
        <w:t xml:space="preserve">Senior Linguistic Auditor</w:t>
      </w:r>
    </w:p>
    <w:p>
      <w:pPr>
        <w:pStyle w:val="BodyText"/>
      </w:pPr>
      <w:r>
        <w:t xml:space="preserve">Global Translation Standards Board</w:t>
      </w:r>
    </w:p>
    <w:p>
      <w:pPr>
        <w:pStyle w:val="BodyText"/>
      </w:pPr>
      <w:r>
        <w:rPr>
          <w:iCs/>
          <w:i/>
        </w:rPr>
        <w:t xml:space="preserve">Shanghai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China Shanghai</dc:title>
  <dc:creator/>
  <dc:language>en</dc:language>
  <cp:keywords/>
  <dcterms:created xsi:type="dcterms:W3CDTF">2026-10-10T07:02:36Z</dcterms:created>
  <dcterms:modified xsi:type="dcterms:W3CDTF">2026-10-10T07:02:36Z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