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Service Quality</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services rendered by our contracted Translator Interpreter team operating within the bustling metropolitan region of Indonesia Jakarta. The primary objective of this review is to evaluate the linguistic accuracy, cultural competence, and operational efficiency of the translation and interpretation services provided during high-stakes corporate negotiations, legal proceedings, and medical consultations.</w:t>
      </w:r>
    </w:p>
    <w:p>
      <w:pPr>
        <w:pStyle w:val="BodyText"/>
      </w:pPr>
      <w:r>
        <w:t xml:space="preserve">Given the unique linguistic landscape of Indonesia Jakarta, where Bahasa Indonesia serves as the national lingua franca but is often interwoven with local dialects such as Betawi and Javanese, as well as increasing demands for English and Mandarin proficiency, the role of the Translator Interpreter is critical. This report highlights that while the core linguistic skills are robust, there are specific areas regarding real-time interpretation latency and cultural nuance adaptation that require immediate attention to meet international standards.</w:t>
      </w:r>
    </w:p>
    <w:bookmarkEnd w:id="21"/>
    <w:bookmarkStart w:id="22" w:name="scope-and-methodology"/>
    <w:p>
      <w:pPr>
        <w:pStyle w:val="Heading2"/>
      </w:pPr>
      <w:r>
        <w:t xml:space="preserve">2. Scope and Methodology</w:t>
      </w:r>
    </w:p>
    <w:p>
      <w:pPr>
        <w:pStyle w:val="FirstParagraph"/>
      </w:pPr>
      <w:r>
        <w:t xml:space="preserve">The scope of this Peer Review Report encompasses all translation and interpretation activities conducted in Indonesia Jakarta over the last quarter. The evaluation methodology involved a triangulation of data sources:</w:t>
      </w:r>
    </w:p>
    <w:p>
      <w:pPr>
        <w:numPr>
          <w:ilvl w:val="0"/>
          <w:numId w:val="1001"/>
        </w:numPr>
        <w:pStyle w:val="Compact"/>
      </w:pPr>
      <w:r>
        <w:rPr>
          <w:bCs/>
          <w:b/>
        </w:rPr>
        <w:t xml:space="preserve">Direct Observation:</w:t>
      </w:r>
      <w:r>
        <w:t xml:space="preserve"> </w:t>
      </w:r>
      <w:r>
        <w:t xml:space="preserve">Senior linguists observed live interpretation sessions in conference rooms across Central Jakarta.</w:t>
      </w:r>
    </w:p>
    <w:p>
      <w:pPr>
        <w:numPr>
          <w:ilvl w:val="0"/>
          <w:numId w:val="1001"/>
        </w:numPr>
        <w:pStyle w:val="Compact"/>
      </w:pPr>
      <w:r>
        <w:rPr>
          <w:bCs/>
          <w:b/>
        </w:rPr>
        <w:t xml:space="preserve">Client Feedback:</w:t>
      </w:r>
      <w:r>
        <w:t xml:space="preserve"> </w:t>
      </w:r>
      <w:r>
        <w:t xml:space="preserve">Structured surveys were distributed to international stakeholders and local government officials.</w:t>
      </w:r>
    </w:p>
    <w:p>
      <w:pPr>
        <w:numPr>
          <w:ilvl w:val="0"/>
          <w:numId w:val="1001"/>
        </w:numPr>
        <w:pStyle w:val="Compact"/>
      </w:pPr>
      <w:r>
        <w:rPr>
          <w:bCs/>
          <w:b/>
        </w:rPr>
        <w:t xml:space="preserve">Document Analysis:</w:t>
      </w:r>
      <w:r>
        <w:t xml:space="preserve"> </w:t>
      </w:r>
      <w:r>
        <w:t xml:space="preserve">A random sample of 50 translated legal and technical documents was reviewed for accuracy against source texts.</w:t>
      </w:r>
    </w:p>
    <w:p>
      <w:pPr>
        <w:pStyle w:val="FirstParagraph"/>
      </w:pPr>
      <w:r>
        <w:t xml:space="preserve">The focus was strictly on the performance of the Translator Interpreter in bridging communication gaps between English-speaking entities and Bahasa Indonesia-speaking counterparts.</w:t>
      </w:r>
    </w:p>
    <w:bookmarkEnd w:id="22"/>
    <w:bookmarkStart w:id="26" w:name="detailed-evaluation-criteria"/>
    <w:p>
      <w:pPr>
        <w:pStyle w:val="Heading2"/>
      </w:pPr>
      <w:r>
        <w:t xml:space="preserve">3. Detailed Evaluation Criteria</w:t>
      </w:r>
    </w:p>
    <w:bookmarkStart w:id="23" w:name="linguistic-accuracy-and-terminology"/>
    <w:p>
      <w:pPr>
        <w:pStyle w:val="Heading3"/>
      </w:pPr>
      <w:r>
        <w:t xml:space="preserve">3.1 Linguistic Accuracy and Terminology</w:t>
      </w:r>
    </w:p>
    <w:p>
      <w:pPr>
        <w:pStyle w:val="FirstParagraph"/>
      </w:pPr>
      <w:r>
        <w:t xml:space="preserve">The Translator Interpreter demonstrated a high level of proficiency in standard Bahasa Indonesia. However, the review identified inconsistencies in the translation of specialized legal terminology. In the context of Indonesia Jakarta's complex regulatory environment, precise terminology is non-negotiable. For instance, during a contract negotiation review, the distinction between "binding" and "non-binding" clauses was occasionally blurred in the interpreted output. The Peer Review Report recommends the implementation of a standardized glossary specific to Jakarta's business legal framework.</w:t>
      </w:r>
    </w:p>
    <w:bookmarkEnd w:id="23"/>
    <w:bookmarkStart w:id="24" w:name="cultural-competence-and-localization"/>
    <w:p>
      <w:pPr>
        <w:pStyle w:val="Heading3"/>
      </w:pPr>
      <w:r>
        <w:t xml:space="preserve">3.2 Cultural Competence and Localization</w:t>
      </w:r>
    </w:p>
    <w:p>
      <w:pPr>
        <w:pStyle w:val="FirstParagraph"/>
      </w:pPr>
      <w:r>
        <w:t xml:space="preserve">A critical aspect of this Peer Review Report is the assessment of cultural intelligence. Indonesia Jakarta is a hub of diverse cultures. The Translator Interpreter must not only translate words but also navigate the concept of "face" and hierarchical respect inherent in Indonesian business culture.</w:t>
      </w:r>
    </w:p>
    <w:p>
      <w:pPr>
        <w:pStyle w:val="BodyText"/>
      </w:pPr>
      <w:r>
        <w:t xml:space="preserve">The review found that the Translator Interpreter successfully mitigated several potential cultural faux pas during diplomatic meetings. However, there were instances where direct translations of Western idioms caused confusion among local stakeholders. The report emphasizes the need for "transcreation" rather than literal translation to ensure messages resonate effectively within the local Jakarta context.</w:t>
      </w:r>
    </w:p>
    <w:bookmarkEnd w:id="24"/>
    <w:bookmarkStart w:id="25" w:name="real-time-interpretation-efficiency"/>
    <w:p>
      <w:pPr>
        <w:pStyle w:val="Heading3"/>
      </w:pPr>
      <w:r>
        <w:t xml:space="preserve">3.3 Real-Time Interpretation Efficiency</w:t>
      </w:r>
    </w:p>
    <w:p>
      <w:pPr>
        <w:pStyle w:val="FirstParagraph"/>
      </w:pPr>
      <w:r>
        <w:t xml:space="preserve">In simultaneous interpretation scenarios, the latency between the speaker and the Translator Interpreter was measured. The average lag time was within acceptable limits (3-5 seconds). However, during rapid-fire Q&amp;A sessions, the Translator Interpreter occasionally struggled to keep pace, leading to truncated sentences. This is a significant risk in high-pressure environments typical of Jakarta's financial district.</w:t>
      </w:r>
    </w:p>
    <w:bookmarkEnd w:id="25"/>
    <w:bookmarkEnd w:id="26"/>
    <w:bookmarkStart w:id="27" w:name="quantitative-performance-metrics"/>
    <w:p>
      <w:pPr>
        <w:pStyle w:val="Heading2"/>
      </w:pPr>
      <w:r>
        <w:t xml:space="preserve">4. Quantitative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Actual Performance</w:t>
            </w:r>
          </w:p>
        </w:tc>
        <w:tc>
          <w:tcPr/>
          <w:p>
            <w:pPr>
              <w:pStyle w:val="Compact"/>
              <w:jc w:val="left"/>
            </w:pPr>
            <w:r>
              <w:t xml:space="preserve">Status</w:t>
            </w:r>
          </w:p>
        </w:tc>
      </w:tr>
      <w:tr>
        <w:tc>
          <w:tcPr/>
          <w:p>
            <w:pPr>
              <w:pStyle w:val="Compact"/>
              <w:jc w:val="left"/>
            </w:pPr>
            <w:r>
              <w:t xml:space="preserve">Translation Accuracy Rate</w:t>
            </w:r>
          </w:p>
        </w:tc>
        <w:tc>
          <w:tcPr/>
          <w:p>
            <w:pPr>
              <w:pStyle w:val="Compact"/>
              <w:jc w:val="left"/>
            </w:pPr>
            <w:r>
              <w:t xml:space="preserve">98%</w:t>
            </w:r>
          </w:p>
        </w:tc>
        <w:tc>
          <w:tcPr/>
          <w:p>
            <w:pPr>
              <w:pStyle w:val="Compact"/>
              <w:jc w:val="left"/>
            </w:pPr>
            <w:r>
              <w:t xml:space="preserve">96.5%</w:t>
            </w:r>
          </w:p>
        </w:tc>
        <w:tc>
          <w:tcPr/>
          <w:p>
            <w:pPr>
              <w:pStyle w:val="Compact"/>
              <w:jc w:val="left"/>
            </w:pPr>
            <w:r>
              <w:t xml:space="preserve">Needs Improvement</w:t>
            </w:r>
          </w:p>
        </w:tc>
      </w:tr>
      <w:tr>
        <w:tc>
          <w:tcPr/>
          <w:p>
            <w:pPr>
              <w:pStyle w:val="Compact"/>
              <w:jc w:val="left"/>
            </w:pPr>
            <w:r>
              <w:t xml:space="preserve">Client Satisfaction Score (CSAT)</w:t>
            </w:r>
          </w:p>
        </w:tc>
        <w:tc>
          <w:tcPr/>
          <w:p>
            <w:pPr>
              <w:pStyle w:val="Compact"/>
              <w:jc w:val="left"/>
            </w:pPr>
            <w:r>
              <w:t xml:space="preserve">4.5/5</w:t>
            </w:r>
          </w:p>
        </w:tc>
        <w:tc>
          <w:tcPr/>
          <w:p>
            <w:pPr>
              <w:pStyle w:val="Compact"/>
              <w:jc w:val="left"/>
            </w:pPr>
            <w:r>
              <w:t xml:space="preserve">4.2/5</w:t>
            </w:r>
          </w:p>
        </w:tc>
        <w:tc>
          <w:tcPr/>
          <w:p>
            <w:pPr>
              <w:pStyle w:val="Compact"/>
              <w:jc w:val="left"/>
            </w:pPr>
            <w:r>
              <w:t xml:space="preserve">Acceptable</w:t>
            </w:r>
          </w:p>
        </w:tc>
      </w:tr>
      <w:tr>
        <w:tc>
          <w:tcPr/>
          <w:p>
            <w:pPr>
              <w:pStyle w:val="Compact"/>
              <w:jc w:val="left"/>
            </w:pPr>
            <w:r>
              <w:t xml:space="preserve">Turnaround Time (Document)</w:t>
            </w:r>
          </w:p>
        </w:tc>
        <w:tc>
          <w:tcPr/>
          <w:p>
            <w:pPr>
              <w:pStyle w:val="Compact"/>
              <w:jc w:val="left"/>
            </w:pPr>
            <w:r>
              <w:t xml:space="preserve">24 Hours</w:t>
            </w:r>
          </w:p>
        </w:tc>
        <w:tc>
          <w:tcPr/>
          <w:p>
            <w:pPr>
              <w:pStyle w:val="Compact"/>
              <w:jc w:val="left"/>
            </w:pPr>
            <w:r>
              <w:t xml:space="preserve">20 Hours</w:t>
            </w:r>
          </w:p>
        </w:tc>
        <w:tc>
          <w:tcPr/>
          <w:p>
            <w:pPr>
              <w:pStyle w:val="Compact"/>
              <w:jc w:val="left"/>
            </w:pPr>
            <w:r>
              <w:t xml:space="preserve">Exceeded Expectations</w:t>
            </w:r>
          </w:p>
        </w:tc>
      </w:tr>
      <w:tr>
        <w:tc>
          <w:tcPr/>
          <w:p>
            <w:pPr>
              <w:pStyle w:val="Compact"/>
              <w:jc w:val="left"/>
            </w:pPr>
            <w:r>
              <w:t xml:space="preserve">Cultural Adaptation Score</w:t>
            </w:r>
          </w:p>
        </w:tc>
        <w:tc>
          <w:tcPr/>
          <w:p>
            <w:pPr>
              <w:pStyle w:val="Compact"/>
              <w:jc w:val="left"/>
            </w:pPr>
            <w:r>
              <w:t xml:space="preserve">High</w:t>
            </w:r>
          </w:p>
        </w:tc>
        <w:tc>
          <w:tcPr/>
          <w:p>
            <w:pPr>
              <w:pStyle w:val="Compact"/>
              <w:jc w:val="left"/>
            </w:pPr>
            <w:r>
              <w:t xml:space="preserve">Medium-High</w:t>
            </w:r>
          </w:p>
        </w:tc>
        <w:tc>
          <w:tcPr/>
          <w:p>
            <w:pPr>
              <w:pStyle w:val="Compact"/>
              <w:jc w:val="left"/>
            </w:pPr>
            <w:r>
              <w:t xml:space="preserve">Acceptable</w:t>
            </w:r>
          </w:p>
        </w:tc>
      </w:tr>
    </w:tbl>
    <w:bookmarkEnd w:id="27"/>
    <w:bookmarkStart w:id="28" w:name="recommendations-and-action-plan"/>
    <w:p>
      <w:pPr>
        <w:pStyle w:val="Heading2"/>
      </w:pPr>
      <w:r>
        <w:t xml:space="preserve">5. Recommendations and Action Plan</w:t>
      </w:r>
    </w:p>
    <w:p>
      <w:pPr>
        <w:pStyle w:val="FirstParagraph"/>
      </w:pPr>
      <w:r>
        <w:t xml:space="preserve">Based on the findings of this Peer Review Report, the following actions are recommended to enhance the quality of the Translator Interpreter services in Indonesia Jakarta:</w:t>
      </w:r>
    </w:p>
    <w:p>
      <w:pPr>
        <w:numPr>
          <w:ilvl w:val="0"/>
          <w:numId w:val="1002"/>
        </w:numPr>
        <w:pStyle w:val="Compact"/>
      </w:pPr>
      <w:r>
        <w:rPr>
          <w:bCs/>
          <w:b/>
        </w:rPr>
        <w:t xml:space="preserve">Specialized Training:</w:t>
      </w:r>
      <w:r>
        <w:t xml:space="preserve"> </w:t>
      </w:r>
      <w:r>
        <w:t xml:space="preserve">Conduct mandatory workshops on Indonesian legal and financial terminology to address the accuracy gaps identified in Section 3.1.</w:t>
      </w:r>
    </w:p>
    <w:p>
      <w:pPr>
        <w:numPr>
          <w:ilvl w:val="0"/>
          <w:numId w:val="1002"/>
        </w:numPr>
        <w:pStyle w:val="Compact"/>
      </w:pPr>
      <w:r>
        <w:rPr>
          <w:bCs/>
          <w:b/>
        </w:rPr>
        <w:t xml:space="preserve">Cultural Immersion:</w:t>
      </w:r>
      <w:r>
        <w:t xml:space="preserve"> </w:t>
      </w:r>
      <w:r>
        <w:t xml:space="preserve">Organize sessions focusing on the nuances of Jakarta business etiquette to improve the cultural adaptation score.</w:t>
      </w:r>
    </w:p>
    <w:p>
      <w:pPr>
        <w:numPr>
          <w:ilvl w:val="0"/>
          <w:numId w:val="1002"/>
        </w:numPr>
        <w:pStyle w:val="Compact"/>
      </w:pPr>
      <w:r>
        <w:rPr>
          <w:bCs/>
          <w:b/>
        </w:rPr>
        <w:t xml:space="preserve">Technology Integration:</w:t>
      </w:r>
      <w:r>
        <w:t xml:space="preserve"> </w:t>
      </w:r>
      <w:r>
        <w:t xml:space="preserve">Utilize Computer-Assisted Translation (CAT) tools to maintain consistency in terminology across large projects.</w:t>
      </w:r>
    </w:p>
    <w:p>
      <w:pPr>
        <w:numPr>
          <w:ilvl w:val="0"/>
          <w:numId w:val="1002"/>
        </w:numPr>
        <w:pStyle w:val="Compact"/>
      </w:pPr>
      <w:r>
        <w:rPr>
          <w:bCs/>
          <w:b/>
        </w:rPr>
        <w:t xml:space="preserve">Stress Testing:</w:t>
      </w:r>
      <w:r>
        <w:t xml:space="preserve"> </w:t>
      </w:r>
      <w:r>
        <w:t xml:space="preserve">Implement simulation exercises for simultaneous interpretation to improve performance under high-pressure conditions.</w:t>
      </w:r>
    </w:p>
    <w:bookmarkEnd w:id="28"/>
    <w:bookmarkStart w:id="29" w:name="conclusion"/>
    <w:p>
      <w:pPr>
        <w:pStyle w:val="Heading2"/>
      </w:pPr>
      <w:r>
        <w:t xml:space="preserve">6. Conclusion</w:t>
      </w:r>
    </w:p>
    <w:p>
      <w:pPr>
        <w:pStyle w:val="FirstParagraph"/>
      </w:pPr>
      <w:r>
        <w:t xml:space="preserve">This Peer Review Report concludes that the current Translator Interpreter services in Indonesia Jakarta are fundamentally sound but require refinement in specialized domains. The linguistic foundation is strong, yet the dynamic nature of Jakarta's professional environment demands a higher degree of precision and cultural agility. By implementing the recommended action plan, the organization can ensure that its communication channels remain clear, accurate, and culturally respectful, thereby fostering stronger international partnerships.</w:t>
      </w:r>
    </w:p>
    <w:bookmarkEnd w:id="29"/>
    <w:p>
      <w:pPr>
        <w:pStyle w:val="BodyText"/>
      </w:pPr>
      <w:r>
        <w:rPr>
          <w:bCs/>
          <w:b/>
        </w:rPr>
        <w:t xml:space="preserve">Prepared by:</w:t>
      </w:r>
    </w:p>
    <w:p>
      <w:pPr>
        <w:pStyle w:val="BodyText"/>
      </w:pPr>
      <w:r>
        <w:t xml:space="preserve">Senior Linguistic Quality Assurance Manager</w:t>
      </w:r>
    </w:p>
    <w:p>
      <w:pPr>
        <w:pStyle w:val="BodyText"/>
      </w:pPr>
      <w:r>
        <w:rPr>
          <w:bCs/>
          <w:b/>
        </w:rPr>
        <w:t xml:space="preserve">Approved by:</w:t>
      </w:r>
    </w:p>
    <w:p>
      <w:pPr>
        <w:pStyle w:val="BodyText"/>
      </w:pPr>
      <w:r>
        <w:t xml:space="preserve">Director of Operations,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Indonesia Jakarta</dc:title>
  <dc:creator/>
  <dc:language>en</dc:language>
  <cp:keywords/>
  <dcterms:created xsi:type="dcterms:W3CDTF">2026-10-10T07:03:09Z</dcterms:created>
  <dcterms:modified xsi:type="dcterms:W3CDTF">2026-10-10T07:03:09Z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