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aims to assess the quality, accuracy, and cultural appropriateness of translation and interpretation services provided by a Translator Interpreter operating in Morocco Casablanca. The evaluation focuses on linguistic proficiency, adherence to professional standards, and the ability to navigate the unique cultural and linguistic landscape of Casablanca, a major economic and cultural hub in Morocco.</w:t>
      </w:r>
    </w:p>
    <w:bookmarkEnd w:id="21"/>
    <w:bookmarkStart w:id="22" w:name="scope-of-review"/>
    <w:p>
      <w:pPr>
        <w:pStyle w:val="Heading2"/>
      </w:pPr>
      <w:r>
        <w:t xml:space="preserve">2. Scope of Review</w:t>
      </w:r>
    </w:p>
    <w:p>
      <w:pPr>
        <w:pStyle w:val="FirstParagraph"/>
      </w:pPr>
      <w:r>
        <w:t xml:space="preserve">The review encompasses the following areas:</w:t>
      </w:r>
    </w:p>
    <w:p>
      <w:pPr>
        <w:numPr>
          <w:ilvl w:val="0"/>
          <w:numId w:val="1001"/>
        </w:numPr>
        <w:pStyle w:val="Compact"/>
      </w:pPr>
      <w:r>
        <w:t xml:space="preserve">Linguistic accuracy in translating between Arabic, French, English, and Amazigh languages.</w:t>
      </w:r>
    </w:p>
    <w:p>
      <w:pPr>
        <w:numPr>
          <w:ilvl w:val="0"/>
          <w:numId w:val="1001"/>
        </w:numPr>
        <w:pStyle w:val="Compact"/>
      </w:pPr>
      <w:r>
        <w:t xml:space="preserve">Interpretation skills in both simultaneous and consecutive modes.</w:t>
      </w:r>
    </w:p>
    <w:p>
      <w:pPr>
        <w:numPr>
          <w:ilvl w:val="0"/>
          <w:numId w:val="1001"/>
        </w:numPr>
        <w:pStyle w:val="Compact"/>
      </w:pPr>
      <w:r>
        <w:t xml:space="preserve">Cultural sensitivity and contextual understanding specific to Morocco Casablanca.</w:t>
      </w:r>
    </w:p>
    <w:p>
      <w:pPr>
        <w:numPr>
          <w:ilvl w:val="0"/>
          <w:numId w:val="1001"/>
        </w:numPr>
        <w:pStyle w:val="Compact"/>
      </w:pPr>
      <w:r>
        <w:t xml:space="preserve">Adherence to confidentiality and ethical standards.</w:t>
      </w:r>
    </w:p>
    <w:p>
      <w:pPr>
        <w:numPr>
          <w:ilvl w:val="0"/>
          <w:numId w:val="1001"/>
        </w:numPr>
        <w:pStyle w:val="Compact"/>
      </w:pPr>
      <w:r>
        <w:t xml:space="preserve">Timeliness and professionalism in service delivery.</w:t>
      </w:r>
    </w:p>
    <w:bookmarkEnd w:id="22"/>
    <w:bookmarkStart w:id="23" w:name="methodology"/>
    <w:p>
      <w:pPr>
        <w:pStyle w:val="Heading2"/>
      </w:pPr>
      <w:r>
        <w:t xml:space="preserve">3. Methodology</w:t>
      </w:r>
    </w:p>
    <w:p>
      <w:pPr>
        <w:pStyle w:val="FirstParagraph"/>
      </w:pPr>
      <w:r>
        <w:t xml:space="preserve">The Peer Review Report was conducted through a combination of:</w:t>
      </w:r>
    </w:p>
    <w:p>
      <w:pPr>
        <w:numPr>
          <w:ilvl w:val="0"/>
          <w:numId w:val="1002"/>
        </w:numPr>
        <w:pStyle w:val="Compact"/>
      </w:pPr>
      <w:r>
        <w:t xml:space="preserve">Analysis of translated documents across legal, medical, and business domains.</w:t>
      </w:r>
    </w:p>
    <w:p>
      <w:pPr>
        <w:numPr>
          <w:ilvl w:val="0"/>
          <w:numId w:val="1002"/>
        </w:numPr>
        <w:pStyle w:val="Compact"/>
      </w:pPr>
      <w:r>
        <w:t xml:space="preserve">Observation of live interpretation sessions in professional settings in Morocco Casablanca.</w:t>
      </w:r>
    </w:p>
    <w:p>
      <w:pPr>
        <w:numPr>
          <w:ilvl w:val="0"/>
          <w:numId w:val="1002"/>
        </w:numPr>
        <w:pStyle w:val="Compact"/>
      </w:pPr>
      <w:r>
        <w:t xml:space="preserve">Feedback from clients and stakeholders who engaged the Translator Interpreter.</w:t>
      </w:r>
    </w:p>
    <w:p>
      <w:pPr>
        <w:numPr>
          <w:ilvl w:val="0"/>
          <w:numId w:val="1002"/>
        </w:numPr>
        <w:pStyle w:val="Compact"/>
      </w:pPr>
      <w:r>
        <w:t xml:space="preserve">Comparison of outputs against recognized translation and interpretation standards.</w:t>
      </w:r>
    </w:p>
    <w:bookmarkEnd w:id="23"/>
    <w:bookmarkStart w:id="28" w:name="findings"/>
    <w:p>
      <w:pPr>
        <w:pStyle w:val="Heading2"/>
      </w:pPr>
      <w:r>
        <w:t xml:space="preserve">4. Findings</w:t>
      </w:r>
    </w:p>
    <w:bookmarkStart w:id="24" w:name="linguistic-proficiency"/>
    <w:p>
      <w:pPr>
        <w:pStyle w:val="Heading3"/>
      </w:pPr>
      <w:r>
        <w:t xml:space="preserve">4.1 Linguistic Proficiency</w:t>
      </w:r>
    </w:p>
    <w:p>
      <w:pPr>
        <w:pStyle w:val="FirstParagraph"/>
      </w:pPr>
      <w:r>
        <w:t xml:space="preserve">The Translator Interpreter demonstrated a high level of proficiency in Arabic, French, and English, with a commendable understanding of Amazigh dialects. Translations were accurate, with minimal errors in grammar, syntax, and terminology. The ability to switch seamlessly between languages during interpretation sessions in Morocco Casablanca was particularly noteworthy.</w:t>
      </w:r>
    </w:p>
    <w:bookmarkEnd w:id="24"/>
    <w:bookmarkStart w:id="25" w:name="cultural-sensitivity"/>
    <w:p>
      <w:pPr>
        <w:pStyle w:val="Heading3"/>
      </w:pPr>
      <w:r>
        <w:t xml:space="preserve">4.2 Cultural Sensitivity</w:t>
      </w:r>
    </w:p>
    <w:p>
      <w:pPr>
        <w:pStyle w:val="FirstParagraph"/>
      </w:pPr>
      <w:r>
        <w:t xml:space="preserve">Cultural nuances specific to Morocco Casablanca were well-handled. The Translator Interpreter showed a deep understanding of local customs, idiomatic expressions, and socio-cultural contexts, ensuring that translations and interpretations were not only linguistically accurate but also culturally appropriate.</w:t>
      </w:r>
    </w:p>
    <w:bookmarkEnd w:id="25"/>
    <w:bookmarkStart w:id="26" w:name="professionalism-and-ethics"/>
    <w:p>
      <w:pPr>
        <w:pStyle w:val="Heading3"/>
      </w:pPr>
      <w:r>
        <w:t xml:space="preserve">4.3 Professionalism and Ethics</w:t>
      </w:r>
    </w:p>
    <w:p>
      <w:pPr>
        <w:pStyle w:val="FirstParagraph"/>
      </w:pPr>
      <w:r>
        <w:t xml:space="preserve">The Translator Interpreter maintained strict confidentiality and adhered to ethical guidelines throughout the review period. Punctuality, preparedness, and a professional demeanor were consistently observed, reflecting a strong commitment to quality service.</w:t>
      </w:r>
    </w:p>
    <w:bookmarkEnd w:id="26"/>
    <w:bookmarkStart w:id="27" w:name="areas-for-improvement"/>
    <w:p>
      <w:pPr>
        <w:pStyle w:val="Heading3"/>
      </w:pPr>
      <w:r>
        <w:t xml:space="preserve">4.4 Areas for Improvement</w:t>
      </w:r>
    </w:p>
    <w:p>
      <w:pPr>
        <w:pStyle w:val="FirstParagraph"/>
      </w:pPr>
      <w:r>
        <w:t xml:space="preserve">While the overall performance was excellent, minor improvements were noted in:</w:t>
      </w:r>
    </w:p>
    <w:p>
      <w:pPr>
        <w:numPr>
          <w:ilvl w:val="0"/>
          <w:numId w:val="1003"/>
        </w:numPr>
        <w:pStyle w:val="Compact"/>
      </w:pPr>
      <w:r>
        <w:t xml:space="preserve">Handling highly technical terminology in specialized fields such as engineering and advanced medicine.</w:t>
      </w:r>
    </w:p>
    <w:p>
      <w:pPr>
        <w:numPr>
          <w:ilvl w:val="0"/>
          <w:numId w:val="1003"/>
        </w:numPr>
        <w:pStyle w:val="Compact"/>
      </w:pPr>
      <w:r>
        <w:t xml:space="preserve">Enhancing speed in simultaneous interpretation during fast-paced discussions.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Engage in continuous professional development to stay updated with evolving terminology in specialized fields.</w:t>
      </w:r>
    </w:p>
    <w:p>
      <w:pPr>
        <w:numPr>
          <w:ilvl w:val="0"/>
          <w:numId w:val="1004"/>
        </w:numPr>
        <w:pStyle w:val="Compact"/>
      </w:pPr>
      <w:r>
        <w:t xml:space="preserve">Participate in advanced training programs focused on simultaneous interpretation techniques.</w:t>
      </w:r>
    </w:p>
    <w:p>
      <w:pPr>
        <w:numPr>
          <w:ilvl w:val="0"/>
          <w:numId w:val="1004"/>
        </w:numPr>
        <w:pStyle w:val="Compact"/>
      </w:pPr>
      <w:r>
        <w:t xml:space="preserve">Collaborate with subject matter experts in Morocco Casablanca to enhance domain-specific knowledge.</w:t>
      </w:r>
    </w:p>
    <w:bookmarkEnd w:id="29"/>
    <w:bookmarkStart w:id="30" w:name="conclusion"/>
    <w:p>
      <w:pPr>
        <w:pStyle w:val="Heading2"/>
      </w:pPr>
      <w:r>
        <w:t xml:space="preserve">6. Conclusion</w:t>
      </w:r>
    </w:p>
    <w:p>
      <w:pPr>
        <w:pStyle w:val="FirstParagraph"/>
      </w:pPr>
      <w:r>
        <w:t xml:space="preserve">The Translator Interpreter evaluated in this Peer Review Report has demonstrated exceptional skills in translation and interpretation, with a strong grasp of the linguistic and cultural dynamics of Morocco Casablanca. The minor areas for improvement identified are manageable through targeted training and experience. Overall, the services provided meet and, in many aspects, exceed professional standards, making the Translator Interpreter a valuable asset in facilitating effective communication in this diverse and dynamic region.</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Linguistic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Morocco Casablanca</dc:title>
  <dc:creator/>
  <dc:language>en</dc:language>
  <cp:keywords/>
  <dcterms:created xsi:type="dcterms:W3CDTF">2026-10-10T08:42:54Z</dcterms:created>
  <dcterms:modified xsi:type="dcterms:W3CDTF">2026-10-10T08:42:54Z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