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UAE-AD-TI-2023-089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linguistic accuracy, and cultural competency of a designated Translator Interpreter operating within the jurisdiction of United Arab Emirates Abu Dhabi. The assessment focuses on the individual's ability to facilitate communication in high-stakes environments, including legal proceedings, medical consultations, and government administrative interactions. The review aims to ensure that the Translator Interpreter adheres to the rigorous standards expected by the Department of Culture and Tourism – Abu Dhabi and other relevant regulatory bodies.</w:t>
      </w:r>
    </w:p>
    <w:bookmarkEnd w:id="21"/>
    <w:bookmarkStart w:id="22" w:name="scope-of-review"/>
    <w:p>
      <w:pPr>
        <w:pStyle w:val="Heading2"/>
      </w:pPr>
      <w:r>
        <w:t xml:space="preserve">2. Scope of Review</w:t>
      </w:r>
    </w:p>
    <w:p>
      <w:pPr>
        <w:pStyle w:val="FirstParagraph"/>
      </w:pPr>
      <w:r>
        <w:t xml:space="preserve">The scope of this evaluation encompasses a comprehensive analysis of the Translator Interpreter's work over the past twelve months. The review includes:</w:t>
      </w:r>
    </w:p>
    <w:p>
      <w:pPr>
        <w:numPr>
          <w:ilvl w:val="0"/>
          <w:numId w:val="1001"/>
        </w:numPr>
        <w:pStyle w:val="Compact"/>
      </w:pPr>
      <w:r>
        <w:t xml:space="preserve">Analysis of written translation samples from Arabic to English and vice versa.</w:t>
      </w:r>
    </w:p>
    <w:p>
      <w:pPr>
        <w:numPr>
          <w:ilvl w:val="0"/>
          <w:numId w:val="1001"/>
        </w:numPr>
        <w:pStyle w:val="Compact"/>
      </w:pPr>
      <w:r>
        <w:t xml:space="preserve">Observation of live interpretation sessions in legal and medical settings within Abu Dhabi.</w:t>
      </w:r>
    </w:p>
    <w:p>
      <w:pPr>
        <w:numPr>
          <w:ilvl w:val="0"/>
          <w:numId w:val="1001"/>
        </w:numPr>
        <w:pStyle w:val="Compact"/>
      </w:pPr>
      <w:r>
        <w:t xml:space="preserve">Assessment of adherence to confidentiality protocols and ethical codes.</w:t>
      </w:r>
    </w:p>
    <w:p>
      <w:pPr>
        <w:numPr>
          <w:ilvl w:val="0"/>
          <w:numId w:val="1001"/>
        </w:numPr>
        <w:pStyle w:val="Compact"/>
      </w:pPr>
      <w:r>
        <w:t xml:space="preserve">Evaluation of cultural sensitivity and understanding of local Emirati customs.</w:t>
      </w:r>
    </w:p>
    <w:bookmarkEnd w:id="22"/>
    <w:bookmarkStart w:id="23" w:name="linguistic-competency-and-accuracy"/>
    <w:p>
      <w:pPr>
        <w:pStyle w:val="Heading2"/>
      </w:pPr>
      <w:r>
        <w:t xml:space="preserve">3. Linguistic Competency and Accuracy</w:t>
      </w:r>
    </w:p>
    <w:p>
      <w:pPr>
        <w:pStyle w:val="FirstParagraph"/>
      </w:pPr>
      <w:r>
        <w:t xml:space="preserve">The primary function of a Translator Interpreter in United Arab Emirates Abu Dhabi is to bridge the linguistic gap between Arabic-speaking stakeholders and English-speaking counterparts. The subject demonstrated a high level of proficiency in Modern Standard Arabic (MSA) and British English, which is the preferred variant in the UAE.</w:t>
      </w:r>
    </w:p>
    <w:p>
      <w:pPr>
        <w:pStyle w:val="BodyText"/>
      </w:pPr>
      <w:r>
        <w:t xml:space="preserve">In written translation tasks, the Translator Interpreter exhibited exceptional attention to detail. Technical terminology related to construction contracts and legal statutes was rendered with precision. However, minor inconsistencies were noted in the translation of idiomatic expressions, which occasionally required post-editing. In live interpretation scenarios, the subject maintained a steady pace, ensuring that no critical information was omitted during complex medical consultations.</w:t>
      </w:r>
    </w:p>
    <w:bookmarkEnd w:id="23"/>
    <w:bookmarkStart w:id="24" w:name="Xdb0d16c1f8b64bed3c0f58a81a111987313d3f5"/>
    <w:p>
      <w:pPr>
        <w:pStyle w:val="Heading2"/>
      </w:pPr>
      <w:r>
        <w:t xml:space="preserve">4. Cultural Competency and Contextual Awareness</w:t>
      </w:r>
    </w:p>
    <w:p>
      <w:pPr>
        <w:pStyle w:val="FirstParagraph"/>
      </w:pPr>
      <w:r>
        <w:t xml:space="preserve">Operating in United Arab Emirates Abu Dhabi requires more than just linguistic skills; it demands a deep understanding of the local cultural fabric. The Translator Interpreter was evaluated on their ability to navigate cultural nuances, such as appropriate forms of address, gender dynamics, and religious sensitivities.</w:t>
      </w:r>
    </w:p>
    <w:p>
      <w:pPr>
        <w:pStyle w:val="BodyText"/>
      </w:pPr>
      <w:r>
        <w:t xml:space="preserve">The subject showed commendable awareness of Emirati etiquette, particularly in formal government meetings. They successfully mediated potential misunderstandings arising from cultural differences, ensuring that communication remained respectful and effective. This aspect is crucial in Abu Dhabi, where maintaining harmony and respect is paramount in professional interactions.</w:t>
      </w:r>
    </w:p>
    <w:bookmarkEnd w:id="24"/>
    <w:bookmarkStart w:id="25" w:name="ethical-standards-and-confidentiality"/>
    <w:p>
      <w:pPr>
        <w:pStyle w:val="Heading2"/>
      </w:pPr>
      <w:r>
        <w:t xml:space="preserve">5. Ethical Standards and Confidentiality</w:t>
      </w:r>
    </w:p>
    <w:p>
      <w:pPr>
        <w:pStyle w:val="FirstParagraph"/>
      </w:pPr>
      <w:r>
        <w:t xml:space="preserve">Confidentiality is a cornerstone of the Translator Interpreter profession, especially in legal and medical contexts. The review confirmed that the subject strictly adhered to non-disclosure agreements and ethical guidelines. No breaches of confidentiality were reported during the review period. The Translator Interpreter consistently maintained impartiality, avoiding any personal commentary or bias during interpretation sessions.</w:t>
      </w:r>
    </w:p>
    <w:bookmarkEnd w:id="25"/>
    <w:bookmarkStart w:id="26" w:name="areas-for-improvement"/>
    <w:p>
      <w:pPr>
        <w:pStyle w:val="Heading2"/>
      </w:pPr>
      <w:r>
        <w:t xml:space="preserve">6. Areas for Improvement</w:t>
      </w:r>
    </w:p>
    <w:p>
      <w:pPr>
        <w:pStyle w:val="FirstParagraph"/>
      </w:pPr>
      <w:r>
        <w:t xml:space="preserve">While the overall performance of the Translator Interpreter is satisfactory, the following areas require attention:</w:t>
      </w:r>
    </w:p>
    <w:p>
      <w:pPr>
        <w:numPr>
          <w:ilvl w:val="0"/>
          <w:numId w:val="1002"/>
        </w:numPr>
        <w:pStyle w:val="Compact"/>
      </w:pPr>
      <w:r>
        <w:rPr>
          <w:bCs/>
          <w:b/>
        </w:rPr>
        <w:t xml:space="preserve">Specialized Terminology:</w:t>
      </w:r>
      <w:r>
        <w:t xml:space="preserve"> </w:t>
      </w:r>
      <w:r>
        <w:t xml:space="preserve">Further training in technical fields such as engineering and finance is recommended to enhance accuracy in specialized documents.</w:t>
      </w:r>
    </w:p>
    <w:p>
      <w:pPr>
        <w:numPr>
          <w:ilvl w:val="0"/>
          <w:numId w:val="1002"/>
        </w:numPr>
        <w:pStyle w:val="Compact"/>
      </w:pPr>
      <w:r>
        <w:rPr>
          <w:bCs/>
          <w:b/>
        </w:rPr>
        <w:t xml:space="preserve">Speed and Fluency:</w:t>
      </w:r>
      <w:r>
        <w:t xml:space="preserve"> </w:t>
      </w:r>
      <w:r>
        <w:t xml:space="preserve">In simultaneous interpretation settings, the subject occasionally lagged behind the speaker. Practice in rapid processing and delivery is advised.</w:t>
      </w:r>
    </w:p>
    <w:p>
      <w:pPr>
        <w:numPr>
          <w:ilvl w:val="0"/>
          <w:numId w:val="1002"/>
        </w:numPr>
        <w:pStyle w:val="Compact"/>
      </w:pPr>
      <w:r>
        <w:rPr>
          <w:bCs/>
          <w:b/>
        </w:rPr>
        <w:t xml:space="preserve">Documentation:</w:t>
      </w:r>
      <w:r>
        <w:t xml:space="preserve"> </w:t>
      </w:r>
      <w:r>
        <w:t xml:space="preserve">Improved record-keeping of interpretation sessions would facilitate better tracking and accountability.</w:t>
      </w:r>
    </w:p>
    <w:bookmarkEnd w:id="26"/>
    <w:bookmarkStart w:id="27" w:name="conclusion-and-recommendations"/>
    <w:p>
      <w:pPr>
        <w:pStyle w:val="Heading2"/>
      </w:pPr>
      <w:r>
        <w:t xml:space="preserve">7. Conclusion and Recommendations</w:t>
      </w:r>
    </w:p>
    <w:p>
      <w:pPr>
        <w:pStyle w:val="FirstParagraph"/>
      </w:pPr>
      <w:r>
        <w:t xml:space="preserve">Based on the findings of this Peer Review Report, the Translator Interpreter is deemed competent to continue their role in United Arab Emirates Abu Dhabi. Their linguistic skills, cultural awareness, and ethical conduct align with the high standards expected in this region. However, addressing the identified areas for improvement will further enhance their professional effectiveness.</w:t>
      </w:r>
    </w:p>
    <w:p>
      <w:pPr>
        <w:pStyle w:val="BodyText"/>
      </w:pPr>
      <w:r>
        <w:t xml:space="preserve">It is recommended that the subject undergoes additional training in specialized terminology and simultaneous interpretation techniques. Regular peer reviews should be conducted to monitor progress and ensure ongoing compliance with industry standards.</w:t>
      </w:r>
    </w:p>
    <w:bookmarkEnd w:id="27"/>
    <w:p>
      <w:pPr>
        <w:pStyle w:val="BodyText"/>
      </w:pPr>
      <w:r>
        <w:rPr>
          <w:bCs/>
          <w:b/>
        </w:rPr>
        <w:t xml:space="preserve">Reviewed by:</w:t>
      </w:r>
    </w:p>
    <w:p>
      <w:pPr>
        <w:pStyle w:val="BodyText"/>
      </w:pPr>
      <w:r>
        <w:t xml:space="preserve">Dr. Ahmed Al-Mansoori</w:t>
      </w:r>
    </w:p>
    <w:p>
      <w:pPr>
        <w:pStyle w:val="BodyText"/>
      </w:pPr>
      <w:r>
        <w:t xml:space="preserve">Senior Linguistic Consultant</w:t>
      </w:r>
    </w:p>
    <w:p>
      <w:pPr>
        <w:pStyle w:val="BodyText"/>
      </w:pPr>
      <w:r>
        <w:t xml:space="preserve">Abu Dhabi Department of Culture and Tourism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 United Arab Emirates Abu Dhabi</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