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Translator Interpreter Services</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Panel</w:t>
      </w:r>
    </w:p>
    <w:bookmarkEnd w:id="20"/>
    <w:bookmarkStart w:id="21" w:name="introduction"/>
    <w:p>
      <w:pPr>
        <w:pStyle w:val="Heading2"/>
      </w:pPr>
      <w:r>
        <w:t xml:space="preserve">1. Introduction</w:t>
      </w:r>
    </w:p>
    <w:p>
      <w:pPr>
        <w:pStyle w:val="FirstParagraph"/>
      </w:pPr>
      <w:r>
        <w:t xml:space="preserve">This Peer Review Report evaluates the performance, quality, and compliance of Translator Interpreter services operating within the United Kingdom Birmingham area. The review aims to ensure that these services meet the high standards required for effective communication in legal, medical, educational, and community settings. Birmingham, as a diverse and multicultural city, relies heavily on professional translation and interpretation services to facilitate access to essential services for non-English speakers.</w:t>
      </w:r>
    </w:p>
    <w:bookmarkEnd w:id="21"/>
    <w:bookmarkStart w:id="22" w:name="scope-of-review"/>
    <w:p>
      <w:pPr>
        <w:pStyle w:val="Heading2"/>
      </w:pPr>
      <w:r>
        <w:t xml:space="preserve">2. Scope of Review</w:t>
      </w:r>
    </w:p>
    <w:p>
      <w:pPr>
        <w:pStyle w:val="FirstParagraph"/>
      </w:pPr>
      <w:r>
        <w:t xml:space="preserve">The scope of this Peer Review Report includes:</w:t>
      </w:r>
    </w:p>
    <w:p>
      <w:pPr>
        <w:numPr>
          <w:ilvl w:val="0"/>
          <w:numId w:val="1001"/>
        </w:numPr>
        <w:pStyle w:val="Compact"/>
      </w:pPr>
      <w:r>
        <w:t xml:space="preserve">Assessment of linguistic accuracy and cultural appropriateness.</w:t>
      </w:r>
    </w:p>
    <w:p>
      <w:pPr>
        <w:numPr>
          <w:ilvl w:val="0"/>
          <w:numId w:val="1001"/>
        </w:numPr>
        <w:pStyle w:val="Compact"/>
      </w:pPr>
      <w:r>
        <w:t xml:space="preserve">Evaluation of adherence to professional codes of conduct.</w:t>
      </w:r>
    </w:p>
    <w:p>
      <w:pPr>
        <w:numPr>
          <w:ilvl w:val="0"/>
          <w:numId w:val="1001"/>
        </w:numPr>
        <w:pStyle w:val="Compact"/>
      </w:pPr>
      <w:r>
        <w:t xml:space="preserve">Review of service delivery mechanisms, including remote and on-site interpretation.</w:t>
      </w:r>
    </w:p>
    <w:p>
      <w:pPr>
        <w:numPr>
          <w:ilvl w:val="0"/>
          <w:numId w:val="1001"/>
        </w:numPr>
        <w:pStyle w:val="Compact"/>
      </w:pPr>
      <w:r>
        <w:t xml:space="preserve">Analysis of client feedback and satisfaction levels.</w:t>
      </w:r>
    </w:p>
    <w:p>
      <w:pPr>
        <w:numPr>
          <w:ilvl w:val="0"/>
          <w:numId w:val="1001"/>
        </w:numPr>
        <w:pStyle w:val="Compact"/>
      </w:pPr>
      <w:r>
        <w:t xml:space="preserve">Compliance with relevant United Kingdom regulations and standards.</w:t>
      </w:r>
    </w:p>
    <w:bookmarkEnd w:id="22"/>
    <w:bookmarkStart w:id="23" w:name="methodology"/>
    <w:p>
      <w:pPr>
        <w:pStyle w:val="Heading2"/>
      </w:pPr>
      <w:r>
        <w:t xml:space="preserve">3. Methodology</w:t>
      </w:r>
    </w:p>
    <w:p>
      <w:pPr>
        <w:pStyle w:val="FirstParagraph"/>
      </w:pPr>
      <w:r>
        <w:t xml:space="preserve">The review was conducted through a combination of methods:</w:t>
      </w:r>
    </w:p>
    <w:p>
      <w:pPr>
        <w:numPr>
          <w:ilvl w:val="0"/>
          <w:numId w:val="1002"/>
        </w:numPr>
        <w:pStyle w:val="Compact"/>
      </w:pPr>
      <w:r>
        <w:t xml:space="preserve">Direct observation of interpretation sessions in healthcare and legal settings.</w:t>
      </w:r>
    </w:p>
    <w:p>
      <w:pPr>
        <w:numPr>
          <w:ilvl w:val="0"/>
          <w:numId w:val="1002"/>
        </w:numPr>
        <w:pStyle w:val="Compact"/>
      </w:pPr>
      <w:r>
        <w:t xml:space="preserve">Analysis of translated documents for accuracy and completeness.</w:t>
      </w:r>
    </w:p>
    <w:p>
      <w:pPr>
        <w:numPr>
          <w:ilvl w:val="0"/>
          <w:numId w:val="1002"/>
        </w:numPr>
        <w:pStyle w:val="Compact"/>
      </w:pPr>
      <w:r>
        <w:t xml:space="preserve">Interviews with service providers, clients, and stakeholders.</w:t>
      </w:r>
    </w:p>
    <w:p>
      <w:pPr>
        <w:numPr>
          <w:ilvl w:val="0"/>
          <w:numId w:val="1002"/>
        </w:numPr>
        <w:pStyle w:val="Compact"/>
      </w:pPr>
      <w:r>
        <w:t xml:space="preserve">Review of training records and professional certifications.</w:t>
      </w:r>
    </w:p>
    <w:p>
      <w:pPr>
        <w:numPr>
          <w:ilvl w:val="0"/>
          <w:numId w:val="1002"/>
        </w:numPr>
        <w:pStyle w:val="Compact"/>
      </w:pPr>
      <w:r>
        <w:t xml:space="preserve">Comparison against industry benchmarks and best practices.</w:t>
      </w:r>
    </w:p>
    <w:bookmarkEnd w:id="23"/>
    <w:bookmarkStart w:id="29" w:name="findings"/>
    <w:p>
      <w:pPr>
        <w:pStyle w:val="Heading2"/>
      </w:pPr>
      <w:r>
        <w:t xml:space="preserve">4. Findings</w:t>
      </w:r>
    </w:p>
    <w:bookmarkStart w:id="24" w:name="linguistic-accuracy"/>
    <w:p>
      <w:pPr>
        <w:pStyle w:val="Heading3"/>
      </w:pPr>
      <w:r>
        <w:t xml:space="preserve">4.1 Linguistic Accuracy</w:t>
      </w:r>
    </w:p>
    <w:p>
      <w:pPr>
        <w:pStyle w:val="FirstParagraph"/>
      </w:pPr>
      <w:r>
        <w:t xml:space="preserve">Overall, the linguistic accuracy of Translator Interpreter services in Birmingham is satisfactory. Most interpreters demonstrate strong command of both source and target languages. However, occasional inconsistencies were noted in specialized terminology, particularly in medical and legal contexts.</w:t>
      </w:r>
    </w:p>
    <w:bookmarkEnd w:id="24"/>
    <w:bookmarkStart w:id="25" w:name="cultural-competence"/>
    <w:p>
      <w:pPr>
        <w:pStyle w:val="Heading3"/>
      </w:pPr>
      <w:r>
        <w:t xml:space="preserve">4.2 Cultural Competence</w:t>
      </w:r>
    </w:p>
    <w:p>
      <w:pPr>
        <w:pStyle w:val="FirstParagraph"/>
      </w:pPr>
      <w:r>
        <w:t xml:space="preserve">Cultural competence is generally high, reflecting Birmingham’s diverse population. Interpreters are adept at navigating cultural nuances, which enhances communication effectiveness. Nevertheless, further training on specific cultural sensitivities could improve service quality.</w:t>
      </w:r>
    </w:p>
    <w:bookmarkEnd w:id="25"/>
    <w:bookmarkStart w:id="26" w:name="professional-conduct"/>
    <w:p>
      <w:pPr>
        <w:pStyle w:val="Heading3"/>
      </w:pPr>
      <w:r>
        <w:t xml:space="preserve">4.3 Professional Conduct</w:t>
      </w:r>
    </w:p>
    <w:p>
      <w:pPr>
        <w:pStyle w:val="FirstParagraph"/>
      </w:pPr>
      <w:r>
        <w:t xml:space="preserve">Adherence to professional codes of conduct is largely consistent. Interpreters maintain confidentiality and impartiality. A few instances of boundary issues were reported, highlighting the need for ongoing professional development.</w:t>
      </w:r>
    </w:p>
    <w:bookmarkEnd w:id="26"/>
    <w:bookmarkStart w:id="27" w:name="service-delivery"/>
    <w:p>
      <w:pPr>
        <w:pStyle w:val="Heading3"/>
      </w:pPr>
      <w:r>
        <w:t xml:space="preserve">4.4 Service Delivery</w:t>
      </w:r>
    </w:p>
    <w:p>
      <w:pPr>
        <w:pStyle w:val="FirstParagraph"/>
      </w:pPr>
      <w:r>
        <w:t xml:space="preserve">Service delivery mechanisms are robust, with both on-site and remote interpretation options available. Remote services have expanded access but occasionally face technical challenges that impact communication quality.</w:t>
      </w:r>
    </w:p>
    <w:bookmarkEnd w:id="27"/>
    <w:bookmarkStart w:id="28" w:name="client-satisfaction"/>
    <w:p>
      <w:pPr>
        <w:pStyle w:val="Heading3"/>
      </w:pPr>
      <w:r>
        <w:t xml:space="preserve">4.5 Client Satisfaction</w:t>
      </w:r>
    </w:p>
    <w:p>
      <w:pPr>
        <w:pStyle w:val="FirstParagraph"/>
      </w:pPr>
      <w:r>
        <w:t xml:space="preserve">Client feedback indicates high satisfaction levels, particularly regarding responsiveness and professionalism. Some clients expressed concerns about wait times and availability for less common languages.</w:t>
      </w:r>
    </w:p>
    <w:bookmarkEnd w:id="28"/>
    <w:bookmarkEnd w:id="29"/>
    <w:bookmarkStart w:id="30" w:name="recommendations"/>
    <w:p>
      <w:pPr>
        <w:pStyle w:val="Heading2"/>
      </w:pPr>
      <w:r>
        <w:t xml:space="preserve">5. Recommendations</w:t>
      </w:r>
    </w:p>
    <w:p>
      <w:pPr>
        <w:numPr>
          <w:ilvl w:val="0"/>
          <w:numId w:val="1003"/>
        </w:numPr>
        <w:pStyle w:val="Compact"/>
      </w:pPr>
      <w:r>
        <w:t xml:space="preserve">Implement regular training programs focused on specialized terminology and cultural competence.</w:t>
      </w:r>
    </w:p>
    <w:p>
      <w:pPr>
        <w:numPr>
          <w:ilvl w:val="0"/>
          <w:numId w:val="1003"/>
        </w:numPr>
        <w:pStyle w:val="Compact"/>
      </w:pPr>
      <w:r>
        <w:t xml:space="preserve">Enhance technical infrastructure for remote interpretation services to minimize disruptions.</w:t>
      </w:r>
    </w:p>
    <w:p>
      <w:pPr>
        <w:numPr>
          <w:ilvl w:val="0"/>
          <w:numId w:val="1003"/>
        </w:numPr>
        <w:pStyle w:val="Compact"/>
      </w:pPr>
      <w:r>
        <w:t xml:space="preserve">Develop a standardized feedback mechanism to continuously monitor service quality.</w:t>
      </w:r>
    </w:p>
    <w:p>
      <w:pPr>
        <w:numPr>
          <w:ilvl w:val="0"/>
          <w:numId w:val="1003"/>
        </w:numPr>
        <w:pStyle w:val="Compact"/>
      </w:pPr>
      <w:r>
        <w:t xml:space="preserve">Expand the pool of certified interpreters for less commonly requested languages.</w:t>
      </w:r>
    </w:p>
    <w:p>
      <w:pPr>
        <w:numPr>
          <w:ilvl w:val="0"/>
          <w:numId w:val="1003"/>
        </w:numPr>
        <w:pStyle w:val="Compact"/>
      </w:pPr>
      <w:r>
        <w:t xml:space="preserve">Strengthen enforcement of professional codes of conduct through regular audits.</w:t>
      </w:r>
    </w:p>
    <w:bookmarkEnd w:id="30"/>
    <w:bookmarkStart w:id="31" w:name="conclusion"/>
    <w:p>
      <w:pPr>
        <w:pStyle w:val="Heading2"/>
      </w:pPr>
      <w:r>
        <w:t xml:space="preserve">6. Conclusion</w:t>
      </w:r>
    </w:p>
    <w:p>
      <w:pPr>
        <w:pStyle w:val="FirstParagraph"/>
      </w:pPr>
      <w:r>
        <w:t xml:space="preserve">This Peer Review Report confirms that Translator Interpreter services in United Kingdom Birmingham generally meet the required standards for quality and professionalism. However, targeted improvements in training, technology, and resource allocation are recommended to further enhance service delivery and ensure equitable access for all community members.</w:t>
      </w:r>
    </w:p>
    <w:bookmarkEnd w:id="31"/>
    <w:bookmarkStart w:id="34" w:name="appendices"/>
    <w:p>
      <w:pPr>
        <w:pStyle w:val="Heading2"/>
      </w:pPr>
      <w:r>
        <w:t xml:space="preserve">7. Appendices</w:t>
      </w:r>
    </w:p>
    <w:bookmarkStart w:id="32" w:name="appendix-a-summary-of-observations"/>
    <w:p>
      <w:pPr>
        <w:pStyle w:val="Heading3"/>
      </w:pPr>
      <w:r>
        <w:t xml:space="preserve">Appendix A: Summary of Observations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Setting</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Healthcare</w:t>
            </w:r>
          </w:p>
        </w:tc>
        <w:tc>
          <w:tcPr/>
          <w:p>
            <w:pPr>
              <w:pStyle w:val="Compact"/>
              <w:jc w:val="left"/>
            </w:pPr>
            <w:r>
              <w:t xml:space="preserve">High accuracy, good rapport</w:t>
            </w:r>
          </w:p>
        </w:tc>
        <w:tc>
          <w:tcPr/>
          <w:p>
            <w:pPr>
              <w:pStyle w:val="Compact"/>
              <w:jc w:val="left"/>
            </w:pPr>
            <w:r>
              <w:t xml:space="preserve">Terminology consistency</w:t>
            </w:r>
          </w:p>
        </w:tc>
      </w:tr>
      <w:tr>
        <w:tc>
          <w:tcPr/>
          <w:p>
            <w:pPr>
              <w:pStyle w:val="Compact"/>
              <w:jc w:val="left"/>
            </w:pPr>
            <w:r>
              <w:t xml:space="preserve">Legal</w:t>
            </w:r>
          </w:p>
        </w:tc>
        <w:tc>
          <w:tcPr/>
          <w:p>
            <w:pPr>
              <w:pStyle w:val="Compact"/>
              <w:jc w:val="left"/>
            </w:pPr>
            <w:r>
              <w:t xml:space="preserve">Confidentiality maintained</w:t>
            </w:r>
          </w:p>
        </w:tc>
        <w:tc>
          <w:tcPr/>
          <w:p>
            <w:pPr>
              <w:pStyle w:val="Compact"/>
              <w:jc w:val="left"/>
            </w:pPr>
            <w:r>
              <w:t xml:space="preserve">Complex terminology handling</w:t>
            </w:r>
          </w:p>
        </w:tc>
      </w:tr>
      <w:tr>
        <w:tc>
          <w:tcPr/>
          <w:p>
            <w:pPr>
              <w:pStyle w:val="Compact"/>
              <w:jc w:val="left"/>
            </w:pPr>
            <w:r>
              <w:t xml:space="preserve">Community Services</w:t>
            </w:r>
          </w:p>
        </w:tc>
        <w:tc>
          <w:tcPr/>
          <w:p>
            <w:pPr>
              <w:pStyle w:val="Compact"/>
              <w:jc w:val="left"/>
            </w:pPr>
            <w:r>
              <w:t xml:space="preserve">Cultural sensitivity</w:t>
            </w:r>
          </w:p>
        </w:tc>
        <w:tc>
          <w:tcPr/>
          <w:p>
            <w:pPr>
              <w:pStyle w:val="Compact"/>
              <w:jc w:val="left"/>
            </w:pPr>
            <w:r>
              <w:t xml:space="preserve">Availability for rare languages</w:t>
            </w:r>
          </w:p>
        </w:tc>
      </w:tr>
    </w:tbl>
    <w:bookmarkEnd w:id="32"/>
    <w:bookmarkStart w:id="33" w:name="appendix-b-client-feedback-highlights"/>
    <w:p>
      <w:pPr>
        <w:pStyle w:val="Heading3"/>
      </w:pPr>
      <w:r>
        <w:t xml:space="preserve">Appendix B: Client Feedback Highlights</w:t>
      </w:r>
    </w:p>
    <w:p>
      <w:pPr>
        <w:numPr>
          <w:ilvl w:val="0"/>
          <w:numId w:val="1004"/>
        </w:numPr>
        <w:pStyle w:val="Compact"/>
      </w:pPr>
      <w:r>
        <w:t xml:space="preserve">“The interpreter was very professional and helped me understand my medical diagnosis clearly.”</w:t>
      </w:r>
    </w:p>
    <w:p>
      <w:pPr>
        <w:numPr>
          <w:ilvl w:val="0"/>
          <w:numId w:val="1004"/>
        </w:numPr>
        <w:pStyle w:val="Compact"/>
      </w:pPr>
      <w:r>
        <w:t xml:space="preserve">“I appreciated the quick response time, but there was a delay in scheduling for my preferred language.”</w:t>
      </w:r>
    </w:p>
    <w:p>
      <w:pPr>
        <w:numPr>
          <w:ilvl w:val="0"/>
          <w:numId w:val="1004"/>
        </w:numPr>
        <w:pStyle w:val="Compact"/>
      </w:pPr>
      <w:r>
        <w:t xml:space="preserve">“Remote interpretation worked well, but occasional audio issues were frustrating.”</w:t>
      </w:r>
    </w:p>
    <w:bookmarkEnd w:id="33"/>
    <w:bookmarkEnd w:id="34"/>
    <w:p>
      <w:pPr>
        <w:pStyle w:val="FirstParagraph"/>
      </w:pPr>
      <w:r>
        <w:rPr>
          <w:iCs/>
          <w:i/>
        </w:rPr>
        <w:t xml:space="preserve">This Peer Review Report is intended for internal use and continuous improvement of Translator Interpreter services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dc:title>
  <dc:creator/>
  <dc:language>en</dc:language>
  <cp:keywords/>
  <dcterms:created xsi:type="dcterms:W3CDTF">2026-10-10T09:39:31Z</dcterms:created>
  <dcterms:modified xsi:type="dcterms:W3CDTF">2026-10-10T09:39:31Z</dcterms:modified>
</cp:coreProperties>
</file>

<file path=docProps/custom.xml><?xml version="1.0" encoding="utf-8"?>
<Properties xmlns="http://schemas.openxmlformats.org/officeDocument/2006/custom-properties" xmlns:vt="http://schemas.openxmlformats.org/officeDocument/2006/docPropsVTypes"/>
</file>