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t xml:space="preserve">Evaluation of Academic Performance and Professional Competence</w:t>
      </w:r>
    </w:p>
    <w:p>
      <w:pPr>
        <w:pStyle w:val="BodyText"/>
      </w:pPr>
      <w:r>
        <w:rPr>
          <w:bCs/>
          <w:b/>
        </w:rPr>
        <w:t xml:space="preserve">Institution:</w:t>
      </w:r>
      <w:r>
        <w:t xml:space="preserve"> </w:t>
      </w:r>
      <w:r>
        <w:t xml:space="preserve">National University of Córdoba (UNC) / Private University in Córdoba</w:t>
      </w:r>
      <w:r>
        <w:br/>
      </w:r>
      <w:r>
        <w:rPr>
          <w:bCs/>
          <w:b/>
        </w:rPr>
        <w:t xml:space="preserve">Location:</w:t>
      </w:r>
      <w:r>
        <w:t xml:space="preserve"> </w:t>
      </w:r>
      <w:r>
        <w:t xml:space="preserve">Córdoba, Argentina</w:t>
      </w:r>
      <w:r>
        <w:br/>
      </w:r>
      <w:r>
        <w:rPr>
          <w:bCs/>
          <w:b/>
        </w:rPr>
        <w:t xml:space="preserve">Academic Year:</w:t>
      </w:r>
      <w:r>
        <w:t xml:space="preserve"> </w:t>
      </w:r>
      <w:r>
        <w:t xml:space="preserve">2024</w:t>
      </w:r>
    </w:p>
    <w:p>
      <w:pPr>
        <w:pStyle w:val="BodyText"/>
      </w:pPr>
      <w:r>
        <w:rPr>
          <w:bCs/>
          <w:b/>
        </w:rPr>
        <w:t xml:space="preserve">Report ID:</w:t>
      </w:r>
      <w:r>
        <w:t xml:space="preserve"> </w:t>
      </w:r>
      <w:r>
        <w:t xml:space="preserve">PR-2024-089</w:t>
      </w:r>
      <w:r>
        <w:br/>
      </w:r>
      <w:r>
        <w:rPr>
          <w:bCs/>
          <w:b/>
        </w:rPr>
        <w:t xml:space="preserve">Date of Review:</w:t>
      </w:r>
      <w:r>
        <w:t xml:space="preserve"> </w:t>
      </w:r>
      <w:r>
        <w:t xml:space="preserve">October 15, 2024</w:t>
      </w:r>
      <w:r>
        <w:br/>
      </w:r>
      <w:r>
        <w:rPr>
          <w:bCs/>
          <w:b/>
        </w:rPr>
        <w:t xml:space="preserve">Confidentiality Level:</w:t>
      </w:r>
      <w:r>
        <w:t xml:space="preserve"> </w:t>
      </w:r>
      <w:r>
        <w:t xml:space="preserve">Internal Use Only</w:t>
      </w:r>
    </w:p>
    <w:bookmarkEnd w:id="20"/>
    <w:bookmarkStart w:id="21" w:name="introduction-and-purpose"/>
    <w:p>
      <w:pPr>
        <w:pStyle w:val="Heading2"/>
      </w:pPr>
      <w:r>
        <w:t xml:space="preserve">1. Introduction and Purpose</w:t>
      </w:r>
    </w:p>
    <w:p>
      <w:pPr>
        <w:pStyle w:val="FirstParagraph"/>
      </w:pPr>
      <w:r>
        <w:t xml:space="preserve">This</w:t>
      </w:r>
      <w:r>
        <w:t xml:space="preserve"> </w:t>
      </w:r>
      <w:r>
        <w:rPr>
          <w:bCs/>
          <w:b/>
        </w:rPr>
        <w:t xml:space="preserve">Peer Review Report</w:t>
      </w:r>
      <w:r>
        <w:t xml:space="preserve"> </w:t>
      </w:r>
      <w:r>
        <w:t xml:space="preserve">has been prepared in accordance with the academic evaluation standards established by higher education institutions in</w:t>
      </w:r>
      <w:r>
        <w:t xml:space="preserve"> </w:t>
      </w:r>
      <w:r>
        <w:rPr>
          <w:bCs/>
          <w:b/>
        </w:rPr>
        <w:t xml:space="preserve">Córdoba, Argentina</w:t>
      </w:r>
      <w:r>
        <w:t xml:space="preserve">. The primary objective of this document is to provide a comprehensive, objective, and constructive assessment of the professional performance of a</w:t>
      </w:r>
      <w:r>
        <w:t xml:space="preserve"> </w:t>
      </w:r>
      <w:r>
        <w:rPr>
          <w:bCs/>
          <w:b/>
        </w:rPr>
        <w:t xml:space="preserve">University Lecturer</w:t>
      </w:r>
      <w:r>
        <w:t xml:space="preserve"> </w:t>
      </w:r>
      <w:r>
        <w:t xml:space="preserve">within the Faculty of [Insert Faculty Name]. This evaluation aligns with the institutional commitment to academic excellence, pedagogical innovation, and continuous professional development that characterizes the university landscape in Córdoba.</w:t>
      </w:r>
    </w:p>
    <w:p>
      <w:pPr>
        <w:pStyle w:val="BodyText"/>
      </w:pPr>
      <w:r>
        <w:t xml:space="preserve">The peer review process is a fundamental mechanism for quality assurance in Argentine universities. It ensures that teaching practices, research contributions, and institutional service meet the rigorous standards expected of academic professionals. This report evaluates the lecturer’s performance over the past academic cycle, considering both quantitative metrics and qualitative observations gathered through classroom visits, student feedback, and analysis of scholarly output.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University Lecturer:</w:t>
            </w:r>
          </w:p>
        </w:tc>
        <w:tc>
          <w:tcPr/>
          <w:p>
            <w:pPr>
              <w:pStyle w:val="Compact"/>
              <w:jc w:val="left"/>
            </w:pPr>
            <w:r>
              <w:t xml:space="preserve">[Insert Full Name]</w:t>
            </w:r>
          </w:p>
        </w:tc>
      </w:tr>
      <w:tr>
        <w:tc>
          <w:tcPr/>
          <w:p>
            <w:pPr>
              <w:pStyle w:val="Compact"/>
              <w:jc w:val="left"/>
            </w:pPr>
            <w:r>
              <w:rPr>
                <w:bCs/>
                <w:b/>
              </w:rPr>
              <w:t xml:space="preserve">Department:</w:t>
            </w:r>
          </w:p>
        </w:tc>
        <w:tc>
          <w:tcPr/>
          <w:p>
            <w:pPr>
              <w:pStyle w:val="Compact"/>
              <w:jc w:val="left"/>
            </w:pPr>
            <w:r>
              <w:t xml:space="preserve">[Insert Department Name]</w:t>
            </w:r>
          </w:p>
        </w:tc>
      </w:tr>
      <w:tr>
        <w:tc>
          <w:tcPr/>
          <w:p>
            <w:pPr>
              <w:pStyle w:val="Compact"/>
              <w:jc w:val="left"/>
            </w:pPr>
            <w:r>
              <w:rPr>
                <w:bCs/>
                <w:b/>
              </w:rPr>
              <w:t xml:space="preserve">Academic Rank:</w:t>
            </w:r>
          </w:p>
        </w:tc>
        <w:tc>
          <w:tcPr/>
          <w:p>
            <w:pPr>
              <w:pStyle w:val="Compact"/>
              <w:jc w:val="left"/>
            </w:pPr>
            <w:r>
              <w:t xml:space="preserve">University Lecturer (Profesor Titular / Adjunto / Auxiliar)</w:t>
            </w:r>
          </w:p>
        </w:tc>
      </w:tr>
      <w:tr>
        <w:tc>
          <w:tcPr/>
          <w:p>
            <w:pPr>
              <w:pStyle w:val="Compact"/>
              <w:jc w:val="left"/>
            </w:pPr>
            <w:r>
              <w:rPr>
                <w:bCs/>
                <w:b/>
              </w:rPr>
              <w:t xml:space="preserve">Courses Taught:</w:t>
            </w:r>
          </w:p>
        </w:tc>
        <w:tc>
          <w:tcPr/>
          <w:p>
            <w:pPr>
              <w:pStyle w:val="Compact"/>
              <w:jc w:val="left"/>
            </w:pPr>
            <w:r>
              <w:t xml:space="preserve">[Insert Course Names]</w:t>
            </w:r>
          </w:p>
        </w:tc>
      </w:tr>
      <w:tr>
        <w:tc>
          <w:tcPr/>
          <w:p>
            <w:pPr>
              <w:pStyle w:val="Compact"/>
              <w:jc w:val="left"/>
            </w:pPr>
            <w:r>
              <w:rPr>
                <w:bCs/>
                <w:b/>
              </w:rPr>
              <w:t xml:space="preserve">Review Period:</w:t>
            </w:r>
          </w:p>
        </w:tc>
        <w:tc>
          <w:tcPr/>
          <w:p>
            <w:pPr>
              <w:pStyle w:val="Compact"/>
              <w:jc w:val="left"/>
            </w:pPr>
            <w:r>
              <w:t xml:space="preserve">January 2024 – September 2024</w:t>
            </w:r>
          </w:p>
        </w:tc>
      </w:tr>
      <w:tr>
        <w:tc>
          <w:tcPr/>
          <w:p>
            <w:pPr>
              <w:pStyle w:val="Compact"/>
              <w:jc w:val="left"/>
            </w:pPr>
            <w:r>
              <w:rPr>
                <w:bCs/>
                <w:b/>
              </w:rPr>
              <w:t xml:space="preserve">Reviewer(s):</w:t>
            </w:r>
          </w:p>
        </w:tc>
        <w:tc>
          <w:tcPr/>
          <w:p>
            <w:pPr>
              <w:pStyle w:val="Compact"/>
              <w:jc w:val="left"/>
            </w:pPr>
            <w:r>
              <w:t xml:space="preserve">[Insert Reviewer Names and Titles]</w:t>
            </w:r>
          </w:p>
        </w:tc>
      </w:tr>
    </w:tbl>
    <w:bookmarkEnd w:id="22"/>
    <w:bookmarkStart w:id="23" w:name="evaluation-criteria-and-rating-scale"/>
    <w:p>
      <w:pPr>
        <w:pStyle w:val="Heading2"/>
      </w:pPr>
      <w:r>
        <w:t xml:space="preserve">3. Evaluation Criteria and Rating Scale</w:t>
      </w:r>
    </w:p>
    <w:p>
      <w:pPr>
        <w:pStyle w:val="FirstParagraph"/>
      </w:pPr>
      <w:r>
        <w:rPr>
          <w:bCs/>
          <w:b/>
        </w:rPr>
        <w:t xml:space="preserve">Rating Scale:</w:t>
      </w:r>
    </w:p>
    <w:p>
      <w:pPr>
        <w:numPr>
          <w:ilvl w:val="0"/>
          <w:numId w:val="1001"/>
        </w:numPr>
        <w:pStyle w:val="Compact"/>
      </w:pPr>
      <w:r>
        <w:rPr>
          <w:bCs/>
          <w:b/>
        </w:rPr>
        <w:t xml:space="preserve">5 - Excellent:</w:t>
      </w:r>
      <w:r>
        <w:t xml:space="preserve"> </w:t>
      </w:r>
      <w:r>
        <w:t xml:space="preserve">Performance significantly exceeds expectations; demonstrates leadership and innovation.</w:t>
      </w:r>
    </w:p>
    <w:p>
      <w:pPr>
        <w:numPr>
          <w:ilvl w:val="0"/>
          <w:numId w:val="1001"/>
        </w:numPr>
        <w:pStyle w:val="Compact"/>
      </w:pPr>
      <w:r>
        <w:rPr>
          <w:bCs/>
          <w:b/>
        </w:rPr>
        <w:t xml:space="preserve">4 - Very Good:</w:t>
      </w:r>
      <w:r>
        <w:t xml:space="preserve"> </w:t>
      </w:r>
      <w:r>
        <w:t xml:space="preserve">Performance consistently meets high standards; minor areas for improvement.</w:t>
      </w:r>
    </w:p>
    <w:p>
      <w:pPr>
        <w:numPr>
          <w:ilvl w:val="0"/>
          <w:numId w:val="1001"/>
        </w:numPr>
        <w:pStyle w:val="Compact"/>
      </w:pPr>
      <w:r>
        <w:rPr>
          <w:bCs/>
          <w:b/>
        </w:rPr>
        <w:t xml:space="preserve">3 - Satisfactory:</w:t>
      </w:r>
      <w:r>
        <w:t xml:space="preserve"> </w:t>
      </w:r>
      <w:r>
        <w:t xml:space="preserve">Performance meets basic requirements; moderate areas for improvement.</w:t>
      </w:r>
    </w:p>
    <w:p>
      <w:pPr>
        <w:numPr>
          <w:ilvl w:val="0"/>
          <w:numId w:val="1001"/>
        </w:numPr>
        <w:pStyle w:val="Compact"/>
      </w:pPr>
      <w:r>
        <w:rPr>
          <w:bCs/>
          <w:b/>
        </w:rPr>
        <w:t xml:space="preserve">2 - Needs Improvement:</w:t>
      </w:r>
      <w:r>
        <w:t xml:space="preserve"> </w:t>
      </w:r>
      <w:r>
        <w:t xml:space="preserve">Performance falls below expectations in several areas.</w:t>
      </w:r>
    </w:p>
    <w:p>
      <w:pPr>
        <w:numPr>
          <w:ilvl w:val="0"/>
          <w:numId w:val="1001"/>
        </w:numPr>
        <w:pStyle w:val="Compact"/>
      </w:pPr>
      <w:r>
        <w:rPr>
          <w:bCs/>
          <w:b/>
        </w:rPr>
        <w:t xml:space="preserve">1 - Unsatisfactory:</w:t>
      </w:r>
      <w:r>
        <w:t xml:space="preserve"> </w:t>
      </w:r>
      <w:r>
        <w:t xml:space="preserve">Performance significantly below expectations; immediate intervention required.</w:t>
      </w:r>
    </w:p>
    <w:bookmarkEnd w:id="23"/>
    <w:bookmarkStart w:id="27" w:name="teaching-performance"/>
    <w:p>
      <w:pPr>
        <w:pStyle w:val="Heading2"/>
      </w:pPr>
      <w:r>
        <w:t xml:space="preserve">4. Teaching Performance</w:t>
      </w:r>
    </w:p>
    <w:bookmarkStart w:id="24" w:name="X867664cc0d2918c582ade31dc5727b91a47b629"/>
    <w:p>
      <w:pPr>
        <w:pStyle w:val="Heading3"/>
      </w:pPr>
      <w:r>
        <w:t xml:space="preserve">4.1 Classroom Instruction and Pedagogical Methods</w:t>
      </w:r>
    </w:p>
    <w:p>
      <w:pPr>
        <w:pStyle w:val="FirstParagraph"/>
      </w:pPr>
      <w:r>
        <w:t xml:space="preserve">The</w:t>
      </w:r>
      <w:r>
        <w:t xml:space="preserve"> </w:t>
      </w:r>
      <w:r>
        <w:rPr>
          <w:bCs/>
          <w:b/>
        </w:rPr>
        <w:t xml:space="preserve">University Lecturer</w:t>
      </w:r>
      <w:r>
        <w:t xml:space="preserve"> </w:t>
      </w:r>
      <w:r>
        <w:t xml:space="preserve">demonstrates a solid command of subject matter and employs a variety of teaching methodologies appropriate for the Argentine higher education context. Classroom observations reveal effective use of interactive techniques, including case studies, group discussions, and problem-based learning, which are particularly valued in Córdoba’s academic environment. The lecturer successfully integrates theoretical concepts with practical applications, fostering critical thinking among students.</w:t>
      </w:r>
    </w:p>
    <w:p>
      <w:pPr>
        <w:pStyle w:val="BodyText"/>
      </w:pPr>
      <w:r>
        <w:t xml:space="preserve">However, there is room for enhancement in the incorporation of digital learning tools. While basic presentation software is used effectively, the adoption of learning management systems and online collaborative platforms could be strengthened to align with modern educational trends in Argentine universities.</w:t>
      </w:r>
    </w:p>
    <w:bookmarkEnd w:id="24"/>
    <w:bookmarkStart w:id="25" w:name="student-engagement-and-assessment"/>
    <w:p>
      <w:pPr>
        <w:pStyle w:val="Heading3"/>
      </w:pPr>
      <w:r>
        <w:t xml:space="preserve">4.2 Student Engagement and Assessment</w:t>
      </w:r>
    </w:p>
    <w:p>
      <w:pPr>
        <w:pStyle w:val="FirstParagraph"/>
      </w:pPr>
      <w:r>
        <w:t xml:space="preserve">Student feedback indicates a high level of engagement and satisfaction with the lecturer’s approach. The lecturer is perceived as approachable, respectful, and committed to student success. Assessment methods are generally fair and transparent, with clear criteria communicated at the beginning of each course. Examinations and assignments are designed to evaluate both knowledge retention and analytical skills.</w:t>
      </w:r>
    </w:p>
    <w:p>
      <w:pPr>
        <w:pStyle w:val="BodyText"/>
      </w:pPr>
      <w:r>
        <w:t xml:space="preserve">One area for improvement is the timeliness of feedback on assignments. While the quality of feedback is thorough, delays in returning graded work have been noted by students, which may impact their learning progression.</w:t>
      </w:r>
    </w:p>
    <w:bookmarkEnd w:id="25"/>
    <w:bookmarkStart w:id="26" w:name="curriculum-development"/>
    <w:p>
      <w:pPr>
        <w:pStyle w:val="Heading3"/>
      </w:pPr>
      <w:r>
        <w:t xml:space="preserve">4.3 Curriculum Development</w:t>
      </w:r>
    </w:p>
    <w:p>
      <w:pPr>
        <w:pStyle w:val="FirstParagraph"/>
      </w:pPr>
      <w:r>
        <w:t xml:space="preserve">The lecturer has actively contributed to the review and updating of course syllabi, ensuring that content remains current and relevant. This is particularly important in a dynamic academic environment like Córdoba, where interdisciplinary approaches are increasingly encouraged. The lecturer’s willingness to incorporate emerging topics and research findings into the curriculum is commendable.</w:t>
      </w:r>
    </w:p>
    <w:bookmarkEnd w:id="26"/>
    <w:bookmarkEnd w:id="27"/>
    <w:bookmarkStart w:id="28" w:name="research-and-scholarly-activity"/>
    <w:p>
      <w:pPr>
        <w:pStyle w:val="Heading2"/>
      </w:pPr>
      <w:r>
        <w:t xml:space="preserve">5. Research and Scholarly Activity</w:t>
      </w:r>
    </w:p>
    <w:p>
      <w:pPr>
        <w:pStyle w:val="FirstParagraph"/>
      </w:pPr>
      <w:r>
        <w:t xml:space="preserve">Research productivity is a key component of the evaluation for any</w:t>
      </w:r>
      <w:r>
        <w:t xml:space="preserve"> </w:t>
      </w:r>
      <w:r>
        <w:rPr>
          <w:bCs/>
          <w:b/>
        </w:rPr>
        <w:t xml:space="preserve">University Lecturer</w:t>
      </w:r>
      <w:r>
        <w:t xml:space="preserve"> </w:t>
      </w:r>
      <w:r>
        <w:t xml:space="preserve">in Argentina. During the review period, the lecturer has published [Insert Number] peer-reviewed articles in reputable journals, presented [Insert Number] papers at national and international conferences, and participated in [Insert Number] research projects. These contributions demonstrate a consistent commitment to advancing knowledge in their field.</w:t>
      </w:r>
    </w:p>
    <w:p>
      <w:pPr>
        <w:pStyle w:val="BodyText"/>
      </w:pPr>
      <w:r>
        <w:t xml:space="preserve">The lecturer’s research aligns well with the strategic priorities of the institution and contributes to the academic reputation of the university in Córdoba and beyond. Collaboration with other researchers, both within and outside the institution, is evident and should be encouraged further.</w:t>
      </w:r>
    </w:p>
    <w:p>
      <w:pPr>
        <w:pStyle w:val="BodyText"/>
      </w:pPr>
      <w:r>
        <w:t xml:space="preserve">To enhance research impact, the lecturer is encouraged to seek funding opportunities from national agencies such as ANPCyT (National Agency for Scientific and Technological Promotion) and to involve graduate students in research projects.</w:t>
      </w:r>
    </w:p>
    <w:bookmarkEnd w:id="28"/>
    <w:bookmarkStart w:id="29" w:name="Xd42cf43a590cc56e732d32d189930dbab815d80"/>
    <w:p>
      <w:pPr>
        <w:pStyle w:val="Heading2"/>
      </w:pPr>
      <w:r>
        <w:t xml:space="preserve">6. Institutional Service and Professional Conduct</w:t>
      </w:r>
    </w:p>
    <w:p>
      <w:pPr>
        <w:pStyle w:val="FirstParagraph"/>
      </w:pPr>
      <w:r>
        <w:t xml:space="preserve">The</w:t>
      </w:r>
      <w:r>
        <w:t xml:space="preserve"> </w:t>
      </w:r>
      <w:r>
        <w:rPr>
          <w:bCs/>
          <w:b/>
        </w:rPr>
        <w:t xml:space="preserve">University Lecturer</w:t>
      </w:r>
      <w:r>
        <w:t xml:space="preserve"> </w:t>
      </w:r>
      <w:r>
        <w:t xml:space="preserve">has demonstrated a strong sense of institutional commitment by participating in departmental meetings, serving on academic committees, and mentoring junior faculty and students. This level of engagement is essential for the functioning of university governance in Córdoba and reflects a positive professional attitude.</w:t>
      </w:r>
    </w:p>
    <w:p>
      <w:pPr>
        <w:pStyle w:val="BodyText"/>
      </w:pPr>
      <w:r>
        <w:t xml:space="preserve">Professional conduct has been exemplary, with no incidents of misconduct reported. The lecturer maintains respectful and collaborative relationships with colleagues, students, and administrative staff.</w:t>
      </w:r>
    </w:p>
    <w:bookmarkEnd w:id="29"/>
    <w:bookmarkStart w:id="32" w:name="overall-assessment-and-recommendations"/>
    <w:p>
      <w:pPr>
        <w:pStyle w:val="Heading2"/>
      </w:pPr>
      <w:r>
        <w:t xml:space="preserve">7. Overall Assessment and Recommendations</w:t>
      </w:r>
    </w:p>
    <w:bookmarkStart w:id="30" w:name="summary-of-findings"/>
    <w:p>
      <w:pPr>
        <w:pStyle w:val="Heading3"/>
      </w:pPr>
      <w:r>
        <w:t xml:space="preserve">7.1 Summary of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Teaching Performance</w:t>
            </w:r>
          </w:p>
        </w:tc>
        <w:tc>
          <w:tcPr/>
          <w:p>
            <w:pPr>
              <w:pStyle w:val="Compact"/>
              <w:jc w:val="left"/>
            </w:pPr>
            <w:r>
              <w:t xml:space="preserve">4</w:t>
            </w:r>
          </w:p>
        </w:tc>
        <w:tc>
          <w:tcPr/>
          <w:p>
            <w:pPr>
              <w:pStyle w:val="Compact"/>
              <w:jc w:val="left"/>
            </w:pPr>
            <w:r>
              <w:t xml:space="preserve">Strong pedagogical skills; improve use of digital tools and feedback timeliness.</w:t>
            </w:r>
          </w:p>
        </w:tc>
      </w:tr>
      <w:tr>
        <w:tc>
          <w:tcPr/>
          <w:p>
            <w:pPr>
              <w:pStyle w:val="Compact"/>
              <w:jc w:val="left"/>
            </w:pPr>
            <w:r>
              <w:t xml:space="preserve">Research Activity</w:t>
            </w:r>
          </w:p>
        </w:tc>
        <w:tc>
          <w:tcPr/>
          <w:p>
            <w:pPr>
              <w:pStyle w:val="Compact"/>
              <w:jc w:val="left"/>
            </w:pPr>
            <w:r>
              <w:t xml:space="preserve">4</w:t>
            </w:r>
          </w:p>
        </w:tc>
        <w:tc>
          <w:tcPr/>
          <w:p>
            <w:pPr>
              <w:pStyle w:val="Compact"/>
              <w:jc w:val="left"/>
            </w:pPr>
            <w:r>
              <w:t xml:space="preserve">Consistent output; encourage grant applications and student involvement.</w:t>
            </w:r>
          </w:p>
        </w:tc>
      </w:tr>
      <w:tr>
        <w:tc>
          <w:tcPr/>
          <w:p>
            <w:pPr>
              <w:pStyle w:val="Compact"/>
              <w:jc w:val="left"/>
            </w:pPr>
            <w:r>
              <w:t xml:space="preserve">Institutional Service</w:t>
            </w:r>
          </w:p>
        </w:tc>
        <w:tc>
          <w:tcPr/>
          <w:p>
            <w:pPr>
              <w:pStyle w:val="Compact"/>
              <w:jc w:val="left"/>
            </w:pPr>
            <w:r>
              <w:t xml:space="preserve">5</w:t>
            </w:r>
          </w:p>
        </w:tc>
        <w:tc>
          <w:tcPr/>
          <w:p>
            <w:pPr>
              <w:pStyle w:val="Compact"/>
              <w:jc w:val="left"/>
            </w:pPr>
            <w:r>
              <w:t xml:space="preserve">Highly engaged and collaborative; role model for colleagues.</w:t>
            </w:r>
          </w:p>
        </w:tc>
      </w:tr>
      <w:tr>
        <w:tc>
          <w:tcPr/>
          <w:p>
            <w:pPr>
              <w:pStyle w:val="Compact"/>
              <w:jc w:val="left"/>
            </w:pPr>
            <w:r>
              <w:t xml:space="preserve">Professional Conduct</w:t>
            </w:r>
          </w:p>
        </w:tc>
        <w:tc>
          <w:tcPr/>
          <w:p>
            <w:pPr>
              <w:pStyle w:val="Compact"/>
              <w:jc w:val="left"/>
            </w:pPr>
            <w:r>
              <w:t xml:space="preserve">5</w:t>
            </w:r>
          </w:p>
        </w:tc>
        <w:tc>
          <w:tcPr/>
          <w:p>
            <w:pPr>
              <w:pStyle w:val="Compact"/>
              <w:jc w:val="left"/>
            </w:pPr>
            <w:r>
              <w:t xml:space="preserve">Exemplary behavior and ethical standards.</w:t>
            </w:r>
          </w:p>
        </w:tc>
      </w:tr>
      <w:tr>
        <w:tc>
          <w:tcPr/>
          <w:p>
            <w:pPr>
              <w:pStyle w:val="Compact"/>
              <w:jc w:val="left"/>
            </w:pPr>
            <w:r>
              <w:rPr>
                <w:bCs/>
                <w:b/>
              </w:rPr>
              <w:t xml:space="preserve">Overall Rating</w:t>
            </w:r>
          </w:p>
        </w:tc>
        <w:tc>
          <w:tcPr/>
          <w:p>
            <w:pPr>
              <w:pStyle w:val="Compact"/>
              <w:jc w:val="left"/>
            </w:pPr>
            <w:r>
              <w:rPr>
                <w:bCs/>
                <w:b/>
              </w:rPr>
              <w:t xml:space="preserve">4.5</w:t>
            </w:r>
          </w:p>
        </w:tc>
        <w:tc>
          <w:tcPr/>
          <w:p>
            <w:pPr>
              <w:pStyle w:val="Compact"/>
              <w:jc w:val="left"/>
            </w:pPr>
            <w:r>
              <w:rPr>
                <w:bCs/>
                <w:b/>
              </w:rPr>
              <w:t xml:space="preserve">Very Good</w:t>
            </w:r>
          </w:p>
        </w:tc>
      </w:tr>
    </w:tbl>
    <w:bookmarkEnd w:id="30"/>
    <w:bookmarkStart w:id="31" w:name="X2505c1a0023529382629b60d8e35fc2b9eaee81"/>
    <w:p>
      <w:pPr>
        <w:pStyle w:val="Heading3"/>
      </w:pPr>
      <w:r>
        <w:t xml:space="preserve">7.2 Recommendations for Professional Development</w:t>
      </w:r>
    </w:p>
    <w:p>
      <w:pPr>
        <w:numPr>
          <w:ilvl w:val="0"/>
          <w:numId w:val="1002"/>
        </w:numPr>
        <w:pStyle w:val="Compact"/>
      </w:pPr>
      <w:r>
        <w:t xml:space="preserve">Participate in workshops on educational technology and blended learning to enhance digital teaching capabilities.</w:t>
      </w:r>
    </w:p>
    <w:p>
      <w:pPr>
        <w:numPr>
          <w:ilvl w:val="0"/>
          <w:numId w:val="1002"/>
        </w:numPr>
        <w:pStyle w:val="Compact"/>
      </w:pPr>
      <w:r>
        <w:t xml:space="preserve">Develop a structured timeline for assignment grading to ensure timely feedback to students.</w:t>
      </w:r>
    </w:p>
    <w:p>
      <w:pPr>
        <w:numPr>
          <w:ilvl w:val="0"/>
          <w:numId w:val="1002"/>
        </w:numPr>
        <w:pStyle w:val="Compact"/>
      </w:pPr>
      <w:r>
        <w:t xml:space="preserve">Pursue external research funding opportunities to support larger-scale projects.</w:t>
      </w:r>
    </w:p>
    <w:p>
      <w:pPr>
        <w:numPr>
          <w:ilvl w:val="0"/>
          <w:numId w:val="1002"/>
        </w:numPr>
        <w:pStyle w:val="Compact"/>
      </w:pPr>
      <w:r>
        <w:t xml:space="preserve">Mentor early-career researchers and contribute to the development of research groups within the department.</w:t>
      </w:r>
    </w:p>
    <w:p>
      <w:pPr>
        <w:numPr>
          <w:ilvl w:val="0"/>
          <w:numId w:val="1002"/>
        </w:numPr>
        <w:pStyle w:val="Compact"/>
      </w:pPr>
      <w:r>
        <w:t xml:space="preserve">Continue active participation in institutional committees and academic governance.</w:t>
      </w:r>
    </w:p>
    <w:bookmarkEnd w:id="31"/>
    <w:bookmarkEnd w:id="32"/>
    <w:bookmarkStart w:id="33"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University Lecturer</w:t>
      </w:r>
      <w:r>
        <w:t xml:space="preserve"> </w:t>
      </w:r>
      <w:r>
        <w:t xml:space="preserve">under evaluation performs at a very high level and makes valuable contributions to the academic community in</w:t>
      </w:r>
      <w:r>
        <w:t xml:space="preserve"> </w:t>
      </w:r>
      <w:r>
        <w:rPr>
          <w:bCs/>
          <w:b/>
        </w:rPr>
        <w:t xml:space="preserve">Córdoba, Argentina</w:t>
      </w:r>
      <w:r>
        <w:t xml:space="preserve">. The lecturer’s dedication to teaching, research, and institutional service aligns with the core mission of the university. With the implementation of the recommended improvements, particularly in the areas of digital pedagogy and research funding, the lecturer is well-positioned for continued professional growth and increased impact.</w:t>
      </w:r>
    </w:p>
    <w:p>
      <w:pPr>
        <w:pStyle w:val="BodyText"/>
      </w:pPr>
      <w:r>
        <w:t xml:space="preserve">This report is intended to support the lecturer’s development and to inform institutional decisions regarding promotion, tenure, and resource allocation. It is submitted with the utmost respect for the lecturer’s contributions and the importance of maintaining high academic standards in Argentine higher education.</w:t>
      </w:r>
    </w:p>
    <w:bookmarkEnd w:id="33"/>
    <w:p>
      <w:pPr>
        <w:pStyle w:val="BodyText"/>
      </w:pPr>
      <w:r>
        <w:rPr>
          <w:bCs/>
          <w:b/>
        </w:rPr>
        <w:t xml:space="preserve">Reviewer Signature: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University Lecturer Acknowledgment:</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This document is confidential and intended solely for the use of the authorized recipients within the institution. Unauthorized distribution is prohibited.</w:t>
      </w:r>
    </w:p>
    <w:p>
      <w:pPr>
        <w:pStyle w:val="BodyText"/>
      </w:pPr>
      <w:r>
        <w:t xml:space="preserve">© 2024 [Insert University Name],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Córdoba, Argentina</dc:title>
  <dc:creator/>
  <dc:language>en</dc:language>
  <cp:keywords/>
  <dcterms:created xsi:type="dcterms:W3CDTF">2026-10-10T04:55:23Z</dcterms:created>
  <dcterms:modified xsi:type="dcterms:W3CDTF">2026-10-10T04:55:23Z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