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Brisbane,</w:t>
      </w:r>
      <w:r>
        <w:t xml:space="preserve"> </w:t>
      </w:r>
      <w:r>
        <w:t xml:space="preserve">Australia</w:t>
      </w:r>
    </w:p>
    <w:bookmarkStart w:id="20" w:name="peer-review-report"/>
    <w:p>
      <w:pPr>
        <w:pStyle w:val="Heading1"/>
      </w:pPr>
      <w:r>
        <w:t xml:space="preserve">Peer Review Report</w:t>
      </w:r>
    </w:p>
    <w:p>
      <w:pPr>
        <w:pStyle w:val="FirstParagraph"/>
      </w:pPr>
      <w:r>
        <w:t xml:space="preserve">This document serves as a formal Peer Review Report for a University Lecturer based in Australia Brisbane. The purpose of this report is to provide a comprehensive evaluation of the lecturer's performance, teaching practices, research contributions, and professional development within the context of the Australian higher education landscape.</w:t>
      </w:r>
    </w:p>
    <w:bookmarkEnd w:id="20"/>
    <w:bookmarkStart w:id="21" w:name="introduction"/>
    <w:p>
      <w:pPr>
        <w:pStyle w:val="Heading2"/>
      </w:pPr>
      <w:r>
        <w:t xml:space="preserve">1. Introduction</w:t>
      </w:r>
    </w:p>
    <w:p>
      <w:pPr>
        <w:pStyle w:val="FirstParagraph"/>
      </w:pPr>
      <w:r>
        <w:t xml:space="preserve">The Peer Review Report is an essential component of the academic evaluation process in universities across Australia Brisbane. It aims to assess the effectiveness of a University Lecturer in delivering high-quality education, conducting impactful research, and contributing to the broader academic community. This report is designed to align with the standards set by the Tertiary Education Quality and Standards Agency (TEQSA) and other relevant regulatory bodies in Australia.</w:t>
      </w:r>
    </w:p>
    <w:p>
      <w:pPr>
        <w:pStyle w:val="BodyText"/>
      </w:pPr>
      <w:r>
        <w:t xml:space="preserve">The review process involves a thorough examination of the lecturer's teaching materials, classroom interactions, student feedback, research outputs, and professional engagement. The goal is to provide constructive feedback that supports the lecturer's continuous improvement and professional growth.</w:t>
      </w:r>
    </w:p>
    <w:bookmarkEnd w:id="21"/>
    <w:bookmarkStart w:id="22" w:name="lecturer-information"/>
    <w:p>
      <w:pPr>
        <w:pStyle w:val="Heading2"/>
      </w:pPr>
      <w:r>
        <w:t xml:space="preserve">2. Lecturer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Name:</w:t>
            </w:r>
          </w:p>
        </w:tc>
        <w:tc>
          <w:tcPr/>
          <w:p>
            <w:pPr>
              <w:pStyle w:val="Compact"/>
              <w:jc w:val="left"/>
            </w:pPr>
            <w:r>
              <w:t xml:space="preserve">[Lecturer's Full Name]</w:t>
            </w:r>
          </w:p>
        </w:tc>
      </w:tr>
      <w:tr>
        <w:tc>
          <w:tcPr/>
          <w:p>
            <w:pPr>
              <w:pStyle w:val="Compact"/>
              <w:jc w:val="left"/>
            </w:pPr>
            <w:r>
              <w:t xml:space="preserve">Position:</w:t>
            </w:r>
          </w:p>
        </w:tc>
        <w:tc>
          <w:tcPr/>
          <w:p>
            <w:pPr>
              <w:pStyle w:val="Compact"/>
              <w:jc w:val="left"/>
            </w:pPr>
            <w:r>
              <w:t xml:space="preserve">University Lecturer</w:t>
            </w:r>
          </w:p>
        </w:tc>
      </w:tr>
      <w:tr>
        <w:tc>
          <w:tcPr/>
          <w:p>
            <w:pPr>
              <w:pStyle w:val="Compact"/>
              <w:jc w:val="left"/>
            </w:pPr>
            <w:r>
              <w:t xml:space="preserve">Department:</w:t>
            </w:r>
          </w:p>
        </w:tc>
        <w:tc>
          <w:tcPr/>
          <w:p>
            <w:pPr>
              <w:pStyle w:val="Compact"/>
              <w:jc w:val="left"/>
            </w:pPr>
            <w:r>
              <w:t xml:space="preserve">[Department Name]</w:t>
            </w:r>
          </w:p>
        </w:tc>
      </w:tr>
      <w:tr>
        <w:tc>
          <w:tcPr/>
          <w:p>
            <w:pPr>
              <w:pStyle w:val="Compact"/>
              <w:jc w:val="left"/>
            </w:pPr>
            <w:r>
              <w:t xml:space="preserve">Institution:</w:t>
            </w:r>
          </w:p>
        </w:tc>
        <w:tc>
          <w:tcPr/>
          <w:p>
            <w:pPr>
              <w:pStyle w:val="Compact"/>
              <w:jc w:val="left"/>
            </w:pPr>
            <w:r>
              <w:t xml:space="preserve">[University Name], Brisbane, Australia</w:t>
            </w:r>
          </w:p>
        </w:tc>
      </w:tr>
      <w:tr>
        <w:tc>
          <w:tcPr/>
          <w:p>
            <w:pPr>
              <w:pStyle w:val="Compact"/>
              <w:jc w:val="left"/>
            </w:pPr>
            <w:r>
              <w:t xml:space="preserve">Review Period:</w:t>
            </w:r>
          </w:p>
        </w:tc>
        <w:tc>
          <w:tcPr/>
          <w:p>
            <w:pPr>
              <w:pStyle w:val="Compact"/>
              <w:jc w:val="left"/>
            </w:pPr>
            <w:r>
              <w:t xml:space="preserve">[Start Date] to [End Date]</w:t>
            </w:r>
          </w:p>
        </w:tc>
      </w:tr>
      <w:tr>
        <w:tc>
          <w:tcPr/>
          <w:p>
            <w:pPr>
              <w:pStyle w:val="Compact"/>
              <w:jc w:val="left"/>
            </w:pPr>
            <w:r>
              <w:t xml:space="preserve">Reviewer(s):</w:t>
            </w:r>
          </w:p>
        </w:tc>
        <w:tc>
          <w:tcPr/>
          <w:p>
            <w:pPr>
              <w:pStyle w:val="Compact"/>
              <w:jc w:val="left"/>
            </w:pPr>
            <w:r>
              <w:t xml:space="preserve">[Reviewer(s) Name(s)]</w:t>
            </w:r>
          </w:p>
        </w:tc>
      </w:tr>
    </w:tbl>
    <w:bookmarkEnd w:id="22"/>
    <w:bookmarkStart w:id="26" w:name="teaching-effectiveness"/>
    <w:p>
      <w:pPr>
        <w:pStyle w:val="Heading2"/>
      </w:pPr>
      <w:r>
        <w:t xml:space="preserve">3. Teaching Effectiveness</w:t>
      </w:r>
    </w:p>
    <w:bookmarkStart w:id="23" w:name="course-design-and-delivery"/>
    <w:p>
      <w:pPr>
        <w:pStyle w:val="Heading3"/>
      </w:pPr>
      <w:r>
        <w:t xml:space="preserve">3.1 Course Design and Delivery</w:t>
      </w:r>
    </w:p>
    <w:p>
      <w:pPr>
        <w:pStyle w:val="FirstParagraph"/>
      </w:pPr>
      <w:r>
        <w:t xml:space="preserve">The University Lecturer demonstrates a strong ability to design and deliver courses that are engaging, relevant, and aligned with the learning outcomes specified in the curriculum. The lecturer's use of diverse teaching methods, including lectures, seminars, group discussions, and practical exercises, enhances student engagement and facilitates a deeper understanding of the subject matter.</w:t>
      </w:r>
    </w:p>
    <w:p>
      <w:pPr>
        <w:pStyle w:val="BodyText"/>
      </w:pPr>
      <w:r>
        <w:t xml:space="preserve">In the context of Australia Brisbane, the lecturer has effectively incorporated local case studies and examples, making the content more relatable and applicable to students. This approach not only enriches the learning experience but also prepares students for the local and global job markets.</w:t>
      </w:r>
    </w:p>
    <w:bookmarkEnd w:id="23"/>
    <w:bookmarkStart w:id="24" w:name="student-engagement-and-support"/>
    <w:p>
      <w:pPr>
        <w:pStyle w:val="Heading3"/>
      </w:pPr>
      <w:r>
        <w:t xml:space="preserve">3.2 Student Engagement and Support</w:t>
      </w:r>
    </w:p>
    <w:p>
      <w:pPr>
        <w:pStyle w:val="FirstParagraph"/>
      </w:pPr>
      <w:r>
        <w:t xml:space="preserve">The lecturer is highly committed to fostering an inclusive and supportive learning environment. Regular office hours, timely feedback on assignments, and active participation in student forums demonstrate the lecturer's dedication to student success. The lecturer's approachability and willingness to assist students with academic and personal challenges have been positively noted in student feedback.</w:t>
      </w:r>
    </w:p>
    <w:bookmarkEnd w:id="24"/>
    <w:bookmarkStart w:id="25" w:name="assessment-and-feedback"/>
    <w:p>
      <w:pPr>
        <w:pStyle w:val="Heading3"/>
      </w:pPr>
      <w:r>
        <w:t xml:space="preserve">3.3 Assessment and Feedback</w:t>
      </w:r>
    </w:p>
    <w:p>
      <w:pPr>
        <w:pStyle w:val="FirstParagraph"/>
      </w:pPr>
      <w:r>
        <w:t xml:space="preserve">The assessment strategies employed by the lecturer are fair, transparent, and aligned with the course objectives. The lecturer provides constructive and timely feedback, which helps students identify their strengths and areas for improvement. The use of formative assessments throughout the semester ensures that students receive ongoing support and guidance.</w:t>
      </w:r>
    </w:p>
    <w:bookmarkEnd w:id="25"/>
    <w:bookmarkEnd w:id="26"/>
    <w:bookmarkStart w:id="29" w:name="research-contributions"/>
    <w:p>
      <w:pPr>
        <w:pStyle w:val="Heading2"/>
      </w:pPr>
      <w:r>
        <w:t xml:space="preserve">4. Research Contributions</w:t>
      </w:r>
    </w:p>
    <w:bookmarkStart w:id="27" w:name="research-output"/>
    <w:p>
      <w:pPr>
        <w:pStyle w:val="Heading3"/>
      </w:pPr>
      <w:r>
        <w:t xml:space="preserve">4.1 Research Output</w:t>
      </w:r>
    </w:p>
    <w:p>
      <w:pPr>
        <w:pStyle w:val="FirstParagraph"/>
      </w:pPr>
      <w:r>
        <w:t xml:space="preserve">The University Lecturer has made significant contributions to the field through high-quality research publications in reputable journals and conferences. The lecturer's research is characterized by its originality, rigor, and relevance to contemporary issues in the discipline. The lecturer's work has been cited by other scholars, indicating its impact and influence within the academic community.</w:t>
      </w:r>
    </w:p>
    <w:bookmarkEnd w:id="27"/>
    <w:bookmarkStart w:id="28" w:name="research-funding-and-collaboration"/>
    <w:p>
      <w:pPr>
        <w:pStyle w:val="Heading3"/>
      </w:pPr>
      <w:r>
        <w:t xml:space="preserve">4.2 Research Funding and Collaboration</w:t>
      </w:r>
    </w:p>
    <w:p>
      <w:pPr>
        <w:pStyle w:val="FirstParagraph"/>
      </w:pPr>
      <w:r>
        <w:t xml:space="preserve">The lecturer has successfully secured research funding from various sources, including government grants and industry partnerships. This demonstrates the lecturer's ability to identify and pursue research opportunities that align with the strategic priorities of the university and the broader research community in Australia Brisbane.</w:t>
      </w:r>
    </w:p>
    <w:p>
      <w:pPr>
        <w:pStyle w:val="BodyText"/>
      </w:pPr>
      <w:r>
        <w:t xml:space="preserve">The lecturer actively collaborates with colleagues both within and outside the university, fostering a culture of interdisciplinary research and innovation. These collaborations have led to joint publications, research projects, and knowledge exchange initiatives that benefit the academic community and society at large.</w:t>
      </w:r>
    </w:p>
    <w:bookmarkEnd w:id="28"/>
    <w:bookmarkEnd w:id="29"/>
    <w:bookmarkStart w:id="32" w:name="professional-development-and-service"/>
    <w:p>
      <w:pPr>
        <w:pStyle w:val="Heading2"/>
      </w:pPr>
      <w:r>
        <w:t xml:space="preserve">5. Professional Development and Service</w:t>
      </w:r>
    </w:p>
    <w:bookmarkStart w:id="30" w:name="professional-development"/>
    <w:p>
      <w:pPr>
        <w:pStyle w:val="Heading3"/>
      </w:pPr>
      <w:r>
        <w:t xml:space="preserve">5.1 Professional Development</w:t>
      </w:r>
    </w:p>
    <w:p>
      <w:pPr>
        <w:pStyle w:val="FirstParagraph"/>
      </w:pPr>
      <w:r>
        <w:t xml:space="preserve">The University Lecturer is committed to continuous professional development and has actively participated in workshops, seminars, and training programs to enhance their teaching and research skills. The lecturer's engagement with professional development opportunities reflects their dedication to staying current with the latest trends and best practices in higher education.</w:t>
      </w:r>
    </w:p>
    <w:bookmarkEnd w:id="30"/>
    <w:bookmarkStart w:id="31" w:name="service-to-the-university-and-community"/>
    <w:p>
      <w:pPr>
        <w:pStyle w:val="Heading3"/>
      </w:pPr>
      <w:r>
        <w:t xml:space="preserve">5.2 Service to the University and Community</w:t>
      </w:r>
    </w:p>
    <w:p>
      <w:pPr>
        <w:pStyle w:val="FirstParagraph"/>
      </w:pPr>
      <w:r>
        <w:t xml:space="preserve">The lecturer has made valuable contributions to the university through their involvement in various committees, working groups, and administrative roles. The lecturer's service extends beyond the university, as they actively engage with the local community in Brisbane through outreach programs, public lectures, and advisory roles.</w:t>
      </w:r>
    </w:p>
    <w:p>
      <w:pPr>
        <w:pStyle w:val="BodyText"/>
      </w:pPr>
      <w:r>
        <w:t xml:space="preserve">The lecturer's commitment to community engagement aligns with the university's mission to contribute to the social, economic, and cultural development of Australia Brisbane. This engagement not only enhances the university's reputation but also fosters strong relationships with external stakeholders.</w:t>
      </w:r>
    </w:p>
    <w:bookmarkEnd w:id="31"/>
    <w:bookmarkEnd w:id="32"/>
    <w:bookmarkStart w:id="35" w:name="strengths-and-areas-for-improvement"/>
    <w:p>
      <w:pPr>
        <w:pStyle w:val="Heading2"/>
      </w:pPr>
      <w:r>
        <w:t xml:space="preserve">6. Strengths and Areas for Improvement</w:t>
      </w:r>
    </w:p>
    <w:bookmarkStart w:id="33" w:name="strengths"/>
    <w:p>
      <w:pPr>
        <w:pStyle w:val="Heading3"/>
      </w:pPr>
      <w:r>
        <w:t xml:space="preserve">6.1 Strengths</w:t>
      </w:r>
    </w:p>
    <w:p>
      <w:pPr>
        <w:numPr>
          <w:ilvl w:val="0"/>
          <w:numId w:val="1001"/>
        </w:numPr>
        <w:pStyle w:val="Compact"/>
      </w:pPr>
      <w:r>
        <w:t xml:space="preserve">Excellent teaching skills and ability to engage students.</w:t>
      </w:r>
    </w:p>
    <w:p>
      <w:pPr>
        <w:numPr>
          <w:ilvl w:val="0"/>
          <w:numId w:val="1001"/>
        </w:numPr>
        <w:pStyle w:val="Compact"/>
      </w:pPr>
      <w:r>
        <w:t xml:space="preserve">Strong research output and impact in the field.</w:t>
      </w:r>
    </w:p>
    <w:p>
      <w:pPr>
        <w:numPr>
          <w:ilvl w:val="0"/>
          <w:numId w:val="1001"/>
        </w:numPr>
        <w:pStyle w:val="Compact"/>
      </w:pPr>
      <w:r>
        <w:t xml:space="preserve">Active involvement in professional development and service.</w:t>
      </w:r>
    </w:p>
    <w:p>
      <w:pPr>
        <w:numPr>
          <w:ilvl w:val="0"/>
          <w:numId w:val="1001"/>
        </w:numPr>
        <w:pStyle w:val="Compact"/>
      </w:pPr>
      <w:r>
        <w:t xml:space="preserve">Effective use of local context in teaching and research.</w:t>
      </w:r>
    </w:p>
    <w:bookmarkEnd w:id="33"/>
    <w:bookmarkStart w:id="34" w:name="areas-for-improvement"/>
    <w:p>
      <w:pPr>
        <w:pStyle w:val="Heading3"/>
      </w:pPr>
      <w:r>
        <w:t xml:space="preserve">6.2 Areas for Improvement</w:t>
      </w:r>
    </w:p>
    <w:p>
      <w:pPr>
        <w:numPr>
          <w:ilvl w:val="0"/>
          <w:numId w:val="1002"/>
        </w:numPr>
        <w:pStyle w:val="Compact"/>
      </w:pPr>
      <w:r>
        <w:t xml:space="preserve">Further integration of technology in teaching to enhance student learning experiences.</w:t>
      </w:r>
    </w:p>
    <w:p>
      <w:pPr>
        <w:numPr>
          <w:ilvl w:val="0"/>
          <w:numId w:val="1002"/>
        </w:numPr>
        <w:pStyle w:val="Compact"/>
      </w:pPr>
      <w:r>
        <w:t xml:space="preserve">Increased focus on interdisciplinary research collaborations.</w:t>
      </w:r>
    </w:p>
    <w:p>
      <w:pPr>
        <w:numPr>
          <w:ilvl w:val="0"/>
          <w:numId w:val="1002"/>
        </w:numPr>
        <w:pStyle w:val="Compact"/>
      </w:pPr>
      <w:r>
        <w:t xml:space="preserve">Enhanced visibility of research findings through public engagement and media outreach.</w:t>
      </w:r>
    </w:p>
    <w:bookmarkEnd w:id="34"/>
    <w:bookmarkEnd w:id="35"/>
    <w:bookmarkStart w:id="36" w:name="recommendations"/>
    <w:p>
      <w:pPr>
        <w:pStyle w:val="Heading2"/>
      </w:pPr>
      <w:r>
        <w:t xml:space="preserve">7. Recommendations</w:t>
      </w:r>
    </w:p>
    <w:p>
      <w:pPr>
        <w:pStyle w:val="FirstParagraph"/>
      </w:pPr>
      <w:r>
        <w:t xml:space="preserve">Based on the findings of this Peer Review Report, the following recommendations are made to support the University Lecturer's continued professional growth and effectiveness:</w:t>
      </w:r>
    </w:p>
    <w:p>
      <w:pPr>
        <w:numPr>
          <w:ilvl w:val="0"/>
          <w:numId w:val="1003"/>
        </w:numPr>
        <w:pStyle w:val="Compact"/>
      </w:pPr>
      <w:r>
        <w:t xml:space="preserve">Explore and implement innovative teaching technologies to enhance student engagement and learning outcomes.</w:t>
      </w:r>
    </w:p>
    <w:p>
      <w:pPr>
        <w:numPr>
          <w:ilvl w:val="0"/>
          <w:numId w:val="1003"/>
        </w:numPr>
        <w:pStyle w:val="Compact"/>
      </w:pPr>
      <w:r>
        <w:t xml:space="preserve">Seek opportunities for interdisciplinary research collaborations to broaden the scope and impact of research activities.</w:t>
      </w:r>
    </w:p>
    <w:p>
      <w:pPr>
        <w:numPr>
          <w:ilvl w:val="0"/>
          <w:numId w:val="1003"/>
        </w:numPr>
        <w:pStyle w:val="Compact"/>
      </w:pPr>
      <w:r>
        <w:t xml:space="preserve">Engage more actively with the media and public to disseminate research findings and raise the profile of the university in Australia Brisbane.</w:t>
      </w:r>
    </w:p>
    <w:p>
      <w:pPr>
        <w:numPr>
          <w:ilvl w:val="0"/>
          <w:numId w:val="1003"/>
        </w:numPr>
        <w:pStyle w:val="Compact"/>
      </w:pPr>
      <w:r>
        <w:t xml:space="preserve">Continue to participate in professional development activities to stay current with emerging trends and best practices in higher education.</w:t>
      </w:r>
    </w:p>
    <w:bookmarkEnd w:id="36"/>
    <w:bookmarkStart w:id="37" w:name="conclusion"/>
    <w:p>
      <w:pPr>
        <w:pStyle w:val="Heading2"/>
      </w:pPr>
      <w:r>
        <w:t xml:space="preserve">8. Conclusion</w:t>
      </w:r>
    </w:p>
    <w:p>
      <w:pPr>
        <w:pStyle w:val="FirstParagraph"/>
      </w:pPr>
      <w:r>
        <w:t xml:space="preserve">This Peer Review Report provides a comprehensive evaluation of the University Lecturer's performance in teaching, research, and professional service. The lecturer has demonstrated a high level of competence, dedication, and commitment to excellence in all aspects of their role. The recommendations provided in this report are intended to support the lecturer's ongoing professional development and contribute to the continued success of the university in Australia Brisbane.</w:t>
      </w:r>
    </w:p>
    <w:p>
      <w:pPr>
        <w:pStyle w:val="BodyText"/>
      </w:pPr>
      <w:r>
        <w:t xml:space="preserve">The review process underscores the importance of continuous improvement and reflective practice in higher education. By addressing the areas for improvement and leveraging their strengths, the University Lecturer can further enhance their contributions to the academic community and the broader society.</w:t>
      </w:r>
    </w:p>
    <w:bookmarkEnd w:id="37"/>
    <w:p>
      <w:pPr>
        <w:pStyle w:val="BodyText"/>
      </w:pPr>
      <w:r>
        <w:t xml:space="preserve">Prepared by:</w:t>
      </w:r>
    </w:p>
    <w:p>
      <w:pPr>
        <w:pStyle w:val="BodyText"/>
      </w:pPr>
      <w:r>
        <w:t xml:space="preserve">[Reviewer's Name]</w:t>
      </w:r>
    </w:p>
    <w:p>
      <w:pPr>
        <w:pStyle w:val="BodyText"/>
      </w:pPr>
      <w:r>
        <w:t xml:space="preserve">[Reviewer's Position]</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 University Lecturer - Brisbane, Australia</dc:title>
  <dc:creator/>
  <dc:language>en</dc:language>
  <cp:keywords/>
  <dcterms:created xsi:type="dcterms:W3CDTF">2026-10-10T03:54:39Z</dcterms:created>
  <dcterms:modified xsi:type="dcterms:W3CDTF">2026-10-10T03:54:39Z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