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University</w:t>
      </w:r>
      <w:r>
        <w:t xml:space="preserve"> </w:t>
      </w:r>
      <w:r>
        <w:t xml:space="preserve">Lecturer</w:t>
      </w:r>
      <w:r>
        <w:t xml:space="preserve"> </w:t>
      </w:r>
      <w:r>
        <w:t xml:space="preserve">-</w:t>
      </w:r>
      <w:r>
        <w:t xml:space="preserve"> </w:t>
      </w:r>
      <w:r>
        <w:t xml:space="preserve">Jerusalem,</w:t>
      </w:r>
      <w:r>
        <w:t xml:space="preserve"> </w:t>
      </w:r>
      <w:r>
        <w:t xml:space="preserve">Israel</w:t>
      </w:r>
    </w:p>
    <w:bookmarkStart w:id="20" w:name="peer-review-report"/>
    <w:p>
      <w:pPr>
        <w:pStyle w:val="Heading1"/>
      </w:pPr>
      <w:r>
        <w:t xml:space="preserve">Peer Review Report</w:t>
      </w:r>
    </w:p>
    <w:p>
      <w:pPr>
        <w:pStyle w:val="FirstParagraph"/>
      </w:pPr>
      <w:r>
        <w:t xml:space="preserve">Academic Evaluation of Teaching and Research Performance</w:t>
      </w:r>
    </w:p>
    <w:p>
      <w:pPr>
        <w:pStyle w:val="BodyText"/>
      </w:pPr>
      <w:r>
        <w:rPr>
          <w:bCs/>
          <w:b/>
        </w:rPr>
        <w:t xml:space="preserve">Subject:</w:t>
      </w:r>
      <w:r>
        <w:t xml:space="preserve"> </w:t>
      </w:r>
      <w:r>
        <w:t xml:space="preserve">University Lecturer</w:t>
      </w:r>
      <w:r>
        <w:br/>
      </w:r>
      <w:r>
        <w:rPr>
          <w:bCs/>
          <w:b/>
        </w:rPr>
        <w:t xml:space="preserve">Department:</w:t>
      </w:r>
      <w:r>
        <w:t xml:space="preserve"> </w:t>
      </w:r>
      <w:r>
        <w:t xml:space="preserve">Department of Humanities and Social Sciences</w:t>
      </w:r>
      <w:r>
        <w:br/>
      </w:r>
      <w:r>
        <w:rPr>
          <w:bCs/>
          <w:b/>
        </w:rPr>
        <w:t xml:space="preserve">Institution:</w:t>
      </w:r>
      <w:r>
        <w:t xml:space="preserve"> </w:t>
      </w:r>
      <w:r>
        <w:t xml:space="preserve">[Name of University], Jerusalem Campus</w:t>
      </w:r>
    </w:p>
    <w:p>
      <w:pPr>
        <w:pStyle w:val="BodyText"/>
      </w:pPr>
      <w:r>
        <w:rPr>
          <w:bCs/>
          <w:b/>
        </w:rPr>
        <w:t xml:space="preserve">Reviewer:</w:t>
      </w:r>
      <w:r>
        <w:t xml:space="preserve"> </w:t>
      </w:r>
      <w:r>
        <w:t xml:space="preserve">Dr. [Reviewer Name], Senior Faculty</w:t>
      </w:r>
      <w:r>
        <w:br/>
      </w:r>
      <w:r>
        <w:rPr>
          <w:bCs/>
          <w:b/>
        </w:rPr>
        <w:t xml:space="preserve">Date of Review:</w:t>
      </w:r>
      <w:r>
        <w:t xml:space="preserve"> </w:t>
      </w:r>
      <w:r>
        <w:t xml:space="preserve">October 24, 2023</w:t>
      </w:r>
      <w:r>
        <w:br/>
      </w:r>
      <w:r>
        <w:rPr>
          <w:bCs/>
          <w:b/>
        </w:rPr>
        <w:t xml:space="preserve">Location:</w:t>
      </w:r>
      <w:r>
        <w:t xml:space="preserve"> </w:t>
      </w:r>
      <w:r>
        <w:t xml:space="preserve">Jerusalem, Israel</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professional performance of the subject University Lecturer. Conducted within the academic framework of a leading institution in Jerusalem, Israel, this review assesses teaching efficacy, research output, and community engagement. The evaluation aligns with the rigorous standards expected of higher education professionals in Israel, emphasizing both pedagogical innovation and scholarly contribution. The overall assessment indicates a high level of professional competence, with specific areas identified for continued growth and excellence.</w:t>
      </w:r>
    </w:p>
    <w:bookmarkEnd w:id="21"/>
    <w:bookmarkStart w:id="24" w:name="teaching-performance-and-pedagogy"/>
    <w:p>
      <w:pPr>
        <w:pStyle w:val="Heading2"/>
      </w:pPr>
      <w:r>
        <w:t xml:space="preserve">2. Teaching Performance and Pedagogy</w:t>
      </w:r>
    </w:p>
    <w:bookmarkStart w:id="22" w:name="course-content-and-preparation"/>
    <w:p>
      <w:pPr>
        <w:pStyle w:val="Heading3"/>
      </w:pPr>
      <w:r>
        <w:t xml:space="preserve">2.1 Course Content and Preparation</w:t>
      </w:r>
    </w:p>
    <w:p>
      <w:pPr>
        <w:pStyle w:val="FirstParagraph"/>
      </w:pPr>
      <w:r>
        <w:t xml:space="preserve">The University Lecturer demonstrates exceptional preparation in all assigned courses. The syllabi are meticulously structured, reflecting a deep understanding of the subject matter while remaining accessible to students of varying academic backgrounds. In the context of the diverse student body found in Jerusalem, the lecturer has successfully integrated multicultural perspectives into the curriculum. This approach not only enriches the academic discourse but also fosters an inclusive classroom environment, a critical component of modern Israeli academia.</w:t>
      </w:r>
    </w:p>
    <w:p>
      <w:pPr>
        <w:pStyle w:val="BodyText"/>
      </w:pPr>
      <w:r>
        <w:t xml:space="preserve">Reading lists are current and comprehensive, balancing foundational texts with recent publications. The lecturer effectively utilizes digital learning platforms, ensuring that course materials are readily available and organized. This digital fluency is particularly notable given the rapid modernization of educational infrastructure in Israel.</w:t>
      </w:r>
    </w:p>
    <w:bookmarkEnd w:id="22"/>
    <w:bookmarkStart w:id="23" w:name="classroom-delivery-and-engagement"/>
    <w:p>
      <w:pPr>
        <w:pStyle w:val="Heading3"/>
      </w:pPr>
      <w:r>
        <w:t xml:space="preserve">2.2 Classroom Delivery and Engagement</w:t>
      </w:r>
    </w:p>
    <w:p>
      <w:pPr>
        <w:pStyle w:val="FirstParagraph"/>
      </w:pPr>
      <w:r>
        <w:t xml:space="preserve">Classroom observations reveal a dynamic and engaging teaching style. The lecturer employs a variety of instructional methods, including Socratic questioning, group discussions, and case studies. This variety keeps students actively involved and encourages critical thinking. The lecturer is adept at managing classroom dynamics, ensuring that all students feel comfortable contributing to the discussion.</w:t>
      </w:r>
    </w:p>
    <w:p>
      <w:pPr>
        <w:pStyle w:val="BodyText"/>
      </w:pPr>
      <w:r>
        <w:t xml:space="preserve">Furthermore, the lecturer demonstrates a strong ability to connect theoretical concepts with real-world applications relevant to the region. By referencing local issues in Jerusalem and broader national topics in Israel, the lecturer makes the material immediately relevant to the students' lives. This contextualization significantly enhances student motivation and comprehension.</w:t>
      </w:r>
    </w:p>
    <w:p>
      <w:pPr>
        <w:pStyle w:val="BodyText"/>
      </w:pPr>
      <w:r>
        <w:rPr>
          <w:bCs/>
          <w:b/>
        </w:rPr>
        <w:t xml:space="preserve">Teaching Rating:</w:t>
      </w:r>
      <w:r>
        <w:t xml:space="preserve"> </w:t>
      </w:r>
      <w:r>
        <w:t xml:space="preserve">Excellent</w:t>
      </w:r>
      <w:r>
        <w:br/>
      </w:r>
      <w:r>
        <w:rPr>
          <w:iCs/>
          <w:i/>
        </w:rPr>
        <w:t xml:space="preserve">Strengths:</w:t>
      </w:r>
      <w:r>
        <w:t xml:space="preserve"> </w:t>
      </w:r>
      <w:r>
        <w:t xml:space="preserve">Clarity of explanation, inclusivity, use of local context.</w:t>
      </w:r>
      <w:r>
        <w:br/>
      </w:r>
      <w:r>
        <w:rPr>
          <w:iCs/>
          <w:i/>
        </w:rPr>
        <w:t xml:space="preserve">Recommendation:</w:t>
      </w:r>
      <w:r>
        <w:t xml:space="preserve"> </w:t>
      </w:r>
      <w:r>
        <w:t xml:space="preserve">Continue integrating multimedia resources to further enhance engagement.</w:t>
      </w:r>
    </w:p>
    <w:bookmarkEnd w:id="23"/>
    <w:bookmarkEnd w:id="24"/>
    <w:bookmarkStart w:id="27" w:name="research-and-scholarship"/>
    <w:p>
      <w:pPr>
        <w:pStyle w:val="Heading2"/>
      </w:pPr>
      <w:r>
        <w:t xml:space="preserve">3. Research and Scholarship</w:t>
      </w:r>
    </w:p>
    <w:bookmarkStart w:id="25" w:name="publication-record"/>
    <w:p>
      <w:pPr>
        <w:pStyle w:val="Heading3"/>
      </w:pPr>
      <w:r>
        <w:t xml:space="preserve">3.1 Publication Record</w:t>
      </w:r>
    </w:p>
    <w:p>
      <w:pPr>
        <w:pStyle w:val="FirstParagraph"/>
      </w:pPr>
      <w:r>
        <w:t xml:space="preserve">The University Lecturer maintains a robust and consistent publication record. Over the past three years, the lecturer has published several peer-reviewed articles in reputable international journals. These publications demonstrate a commitment to advancing knowledge in their field. The research topics are timely and address significant gaps in the literature, contributing to the global academic conversation.</w:t>
      </w:r>
    </w:p>
    <w:p>
      <w:pPr>
        <w:pStyle w:val="BodyText"/>
      </w:pPr>
      <w:r>
        <w:t xml:space="preserve">Notably, the lecturer has also engaged in collaborative research projects with other institutions in Israel and abroad. This collaboration highlights the lecturer's ability to work effectively in interdisciplinary teams and their standing within the broader academic community.</w:t>
      </w:r>
    </w:p>
    <w:bookmarkEnd w:id="25"/>
    <w:bookmarkStart w:id="26" w:name="research-integration-into-teaching"/>
    <w:p>
      <w:pPr>
        <w:pStyle w:val="Heading3"/>
      </w:pPr>
      <w:r>
        <w:t xml:space="preserve">3.2 Research Integration into Teaching</w:t>
      </w:r>
    </w:p>
    <w:p>
      <w:pPr>
        <w:pStyle w:val="FirstParagraph"/>
      </w:pPr>
      <w:r>
        <w:t xml:space="preserve">A key strength of this University Lecturer is the seamless integration of their own research into their teaching. Students are exposed to cutting-edge developments in the field, often through direct involvement in ongoing research projects. This mentorship provides students with invaluable practical experience and prepares them for future academic or professional careers.</w:t>
      </w:r>
    </w:p>
    <w:bookmarkEnd w:id="26"/>
    <w:bookmarkEnd w:id="27"/>
    <w:bookmarkStart w:id="30" w:name="professionalism-and-service"/>
    <w:p>
      <w:pPr>
        <w:pStyle w:val="Heading2"/>
      </w:pPr>
      <w:r>
        <w:t xml:space="preserve">4. Professionalism and Service</w:t>
      </w:r>
    </w:p>
    <w:bookmarkStart w:id="28" w:name="departmental-and-institutional-service"/>
    <w:p>
      <w:pPr>
        <w:pStyle w:val="Heading3"/>
      </w:pPr>
      <w:r>
        <w:t xml:space="preserve">4.1 Departmental and Institutional Service</w:t>
      </w:r>
    </w:p>
    <w:p>
      <w:pPr>
        <w:pStyle w:val="FirstParagraph"/>
      </w:pPr>
      <w:r>
        <w:t xml:space="preserve">The lecturer is an active and valued member of the department. They have served on several key committees, including the Curriculum Development Committee and the Student Affairs Board. Their contributions to these committees are thoughtful and constructive, often leading to positive policy changes that benefit both faculty and students.</w:t>
      </w:r>
    </w:p>
    <w:p>
      <w:pPr>
        <w:pStyle w:val="BodyText"/>
      </w:pPr>
      <w:r>
        <w:t xml:space="preserve">In the specific context of Jerusalem, the lecturer has also participated in community outreach programs, bridging the gap between the university and the local community. These initiatives reflect a strong sense of civic responsibility and align with the university's mission to serve society.</w:t>
      </w:r>
    </w:p>
    <w:bookmarkEnd w:id="28"/>
    <w:bookmarkStart w:id="29" w:name="collegiality-and-ethics"/>
    <w:p>
      <w:pPr>
        <w:pStyle w:val="Heading3"/>
      </w:pPr>
      <w:r>
        <w:t xml:space="preserve">4.2 Collegiality and Ethics</w:t>
      </w:r>
    </w:p>
    <w:p>
      <w:pPr>
        <w:pStyle w:val="FirstParagraph"/>
      </w:pPr>
      <w:r>
        <w:t xml:space="preserve">The University Lecturer is widely respected by colleagues for their professionalism, integrity, and collaborative spirit. They are approachable and willing to assist junior faculty members, fostering a supportive academic environment. Adherence to ethical standards in both research and teaching is impeccable.</w:t>
      </w:r>
    </w:p>
    <w:bookmarkEnd w:id="29"/>
    <w:bookmarkEnd w:id="30"/>
    <w:bookmarkStart w:id="31" w:name="areas-for-development"/>
    <w:p>
      <w:pPr>
        <w:pStyle w:val="Heading2"/>
      </w:pPr>
      <w:r>
        <w:t xml:space="preserve">5. Areas for Development</w:t>
      </w:r>
    </w:p>
    <w:p>
      <w:pPr>
        <w:pStyle w:val="FirstParagraph"/>
      </w:pPr>
      <w:r>
        <w:t xml:space="preserve">While the overall performance is exemplary, the following areas are suggested for further development:</w:t>
      </w:r>
    </w:p>
    <w:p>
      <w:pPr>
        <w:numPr>
          <w:ilvl w:val="0"/>
          <w:numId w:val="1001"/>
        </w:numPr>
        <w:pStyle w:val="Compact"/>
      </w:pPr>
      <w:r>
        <w:rPr>
          <w:bCs/>
          <w:b/>
        </w:rPr>
        <w:t xml:space="preserve">Grant Acquisition:</w:t>
      </w:r>
      <w:r>
        <w:t xml:space="preserve"> </w:t>
      </w:r>
      <w:r>
        <w:t xml:space="preserve">The lecturer is encouraged to pursue larger, multi-year research grants to further support their research agenda and provide more opportunities for student involvement.</w:t>
      </w:r>
    </w:p>
    <w:p>
      <w:pPr>
        <w:numPr>
          <w:ilvl w:val="0"/>
          <w:numId w:val="1001"/>
        </w:numPr>
        <w:pStyle w:val="Compact"/>
      </w:pPr>
      <w:r>
        <w:rPr>
          <w:bCs/>
          <w:b/>
        </w:rPr>
        <w:t xml:space="preserve">International Visibility:</w:t>
      </w:r>
      <w:r>
        <w:t xml:space="preserve"> </w:t>
      </w:r>
      <w:r>
        <w:t xml:space="preserve">Increasing participation in international conferences and keynote speaking engagements would further elevate the lecturer's profile on the global stage.</w:t>
      </w:r>
    </w:p>
    <w:p>
      <w:pPr>
        <w:numPr>
          <w:ilvl w:val="0"/>
          <w:numId w:val="1001"/>
        </w:numPr>
        <w:pStyle w:val="Compact"/>
      </w:pPr>
      <w:r>
        <w:rPr>
          <w:bCs/>
          <w:b/>
        </w:rPr>
        <w:t xml:space="preserve">Assessment Diversity:</w:t>
      </w:r>
      <w:r>
        <w:t xml:space="preserve"> </w:t>
      </w:r>
      <w:r>
        <w:t xml:space="preserve">Exploring alternative assessment methods, such as project-based evaluations, could provide a more holistic view of student learning outcomes.</w:t>
      </w:r>
    </w:p>
    <w:bookmarkEnd w:id="31"/>
    <w:bookmarkStart w:id="32" w:name="conclusion"/>
    <w:p>
      <w:pPr>
        <w:pStyle w:val="Heading2"/>
      </w:pPr>
      <w:r>
        <w:t xml:space="preserve">6. Conclusion</w:t>
      </w:r>
    </w:p>
    <w:p>
      <w:pPr>
        <w:pStyle w:val="FirstParagraph"/>
      </w:pPr>
      <w:r>
        <w:t xml:space="preserve">In conclusion, this Peer Review Report affirms that the subject University Lecturer is a highly effective educator and a productive scholar. Their contributions to the academic community in Jerusalem, Israel, are significant and multifaceted. The lecturer's dedication to teaching excellence, research integrity, and professional service makes them an invaluable asset to the institution. It is recommended that the lecturer be recognized for their outstanding performance and supported in their continued professional development.</w:t>
      </w:r>
    </w:p>
    <w:bookmarkEnd w:id="32"/>
    <w:p>
      <w:pPr>
        <w:pStyle w:val="BodyText"/>
      </w:pPr>
      <w:r>
        <w:rPr>
          <w:bCs/>
          <w:b/>
        </w:rPr>
        <w:t xml:space="preserve">Reviewer Signature:</w:t>
      </w:r>
      <w:r>
        <w:br/>
      </w:r>
      <w:r>
        <w:t xml:space="preserve">Dr. [Reviewer Name]</w:t>
      </w:r>
      <w:r>
        <w:br/>
      </w:r>
      <w:r>
        <w:t xml:space="preserve">Senior Faculty Member</w:t>
      </w:r>
    </w:p>
    <w:p>
      <w:pPr>
        <w:pStyle w:val="BodyText"/>
      </w:pPr>
      <w:r>
        <w:rPr>
          <w:bCs/>
          <w:b/>
        </w:rPr>
        <w:t xml:space="preserve">Date:</w:t>
      </w:r>
      <w:r>
        <w:br/>
      </w:r>
      <w:r>
        <w:t xml:space="preserve">October 24, 2023</w:t>
      </w:r>
      <w:r>
        <w:br/>
      </w:r>
      <w:r>
        <w:t xml:space="preserve">Jerusalem, Israel</w:t>
      </w:r>
    </w:p>
    <w:p>
      <w:pPr>
        <w:pStyle w:val="BodyText"/>
      </w:pPr>
      <w:r>
        <w:t xml:space="preserve">Confidential Document - For Internal Academic Use Only</w:t>
      </w:r>
    </w:p>
    <w:p>
      <w:pPr>
        <w:pStyle w:val="BodyText"/>
      </w:pPr>
      <w:r>
        <w:t xml:space="preserve">Prepared in accordance with the academic standards of the institution in Jerusalem, Israel.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University Lecturer - Jerusalem, Israel</dc:title>
  <dc:creator/>
  <dc:language>en</dc:language>
  <cp:keywords/>
  <dcterms:created xsi:type="dcterms:W3CDTF">2026-10-10T07:04:31Z</dcterms:created>
  <dcterms:modified xsi:type="dcterms:W3CDTF">2026-10-10T07:04:31Z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