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r>
        <w:t xml:space="preserve"> </w:t>
      </w:r>
      <w:r>
        <w:t xml:space="preserve">-</w:t>
      </w:r>
      <w:r>
        <w:t xml:space="preserve"> </w:t>
      </w:r>
      <w:r>
        <w:t xml:space="preserve">Kyoto,</w:t>
      </w:r>
      <w:r>
        <w:t xml:space="preserve"> </w:t>
      </w:r>
      <w:r>
        <w:t xml:space="preserve">Japan</w:t>
      </w:r>
    </w:p>
    <w:bookmarkStart w:id="20" w:name="peer-review-report"/>
    <w:p>
      <w:pPr>
        <w:pStyle w:val="Heading1"/>
      </w:pPr>
      <w:r>
        <w:t xml:space="preserve">Peer Review Report</w:t>
      </w:r>
    </w:p>
    <w:p>
      <w:pPr>
        <w:pStyle w:val="FirstParagraph"/>
      </w:pPr>
      <w:r>
        <w:t xml:space="preserve">Academic Evaluation of Teaching and Research Performance</w:t>
      </w:r>
    </w:p>
    <w:p>
      <w:pPr>
        <w:pStyle w:val="BodyText"/>
      </w:pPr>
      <w:r>
        <w:t xml:space="preserve">Institution:</w:t>
      </w:r>
      <w:r>
        <w:t xml:space="preserve"> </w:t>
      </w:r>
      <w:r>
        <w:t xml:space="preserve">Kyoto University (Example)</w:t>
      </w:r>
    </w:p>
    <w:p>
      <w:pPr>
        <w:pStyle w:val="BodyText"/>
      </w:pPr>
      <w:r>
        <w:t xml:space="preserve">Location:</w:t>
      </w:r>
      <w:r>
        <w:t xml:space="preserve"> </w:t>
      </w:r>
      <w:r>
        <w:t xml:space="preserve">Kyoto, Japan</w:t>
      </w:r>
    </w:p>
    <w:p>
      <w:pPr>
        <w:pStyle w:val="BodyText"/>
      </w:pPr>
      <w:r>
        <w:t xml:space="preserve">Department:</w:t>
      </w:r>
      <w:r>
        <w:t xml:space="preserve"> </w:t>
      </w:r>
      <w:r>
        <w:t xml:space="preserve">Faculty of Letters / Graduate School of Letters</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April 2022 – March 2023</w:t>
      </w:r>
    </w:p>
    <w:p>
      <w:pPr>
        <w:pStyle w:val="BodyText"/>
      </w:pPr>
      <w:r>
        <w:t xml:space="preserve">Reviewer ID:</w:t>
      </w:r>
      <w:r>
        <w:t xml:space="preserve"> </w:t>
      </w:r>
      <w:r>
        <w:t xml:space="preserve">PR-2023-KY-089</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performance of a University Lecturer based in Kyoto, Japan. The review process adheres to the rigorous academic standards expected within Japan's higher education system, specifically reflecting the cultural and institutional values of Kyoto, a city renowned for its deep historical commitment to scholarship, tradition, and intellectual excellence.</w:t>
      </w:r>
    </w:p>
    <w:p>
      <w:pPr>
        <w:pStyle w:val="BodyText"/>
      </w:pPr>
      <w:r>
        <w:t xml:space="preserve">The purpose of this document is to assess the lecturer's contributions to teaching, research, and service over the designated academic year. As Kyoto hosts some of the nation's most prestigious institutions, the expectations for a University Lecturer here are exceptionally high. The evaluation considers not only quantitative metrics but also the qualitative impact of the lecturer's work on the student body, the department, and the broader academic community in Japan.</w:t>
      </w:r>
    </w:p>
    <w:bookmarkEnd w:id="21"/>
    <w:bookmarkStart w:id="24" w:name="teaching-effectiveness-and-pedagogy"/>
    <w:p>
      <w:pPr>
        <w:pStyle w:val="Heading2"/>
      </w:pPr>
      <w:r>
        <w:t xml:space="preserve">2. Teaching Effectiveness and Pedagogy</w:t>
      </w:r>
    </w:p>
    <w:bookmarkStart w:id="22" w:name="classroom-instruction-and-engagement"/>
    <w:p>
      <w:pPr>
        <w:pStyle w:val="Heading3"/>
      </w:pPr>
      <w:r>
        <w:t xml:space="preserve">2.1 Classroom Instruction and Engagement</w:t>
      </w:r>
    </w:p>
    <w:p>
      <w:pPr>
        <w:pStyle w:val="FirstParagraph"/>
      </w:pPr>
      <w:r>
        <w:t xml:space="preserve">The University Lecturer has demonstrated a commendable ability to engage students in complex subject matter. In the context of Japanese higher education, where respect for hierarchy and tradition is paramount, the lecturer has successfully balanced authoritative knowledge with an approachable demeanor. Observations of lectures indicate a clear structure, logical progression of topics, and the effective use of visual aids.</w:t>
      </w:r>
    </w:p>
    <w:p>
      <w:pPr>
        <w:pStyle w:val="BodyText"/>
      </w:pPr>
      <w:r>
        <w:t xml:space="preserve">Notably, the lecturer has adapted their teaching methods to accommodate the diverse needs of students in Kyoto. This includes integrating local cultural contexts into the curriculum, thereby making abstract concepts more relatable to students living in this historic city. The lecturer encourages critical thinking, a skill that is increasingly valued in modern Japanese academia, moving beyond rote memorization toward analytical discourse.</w:t>
      </w:r>
    </w:p>
    <w:bookmarkEnd w:id="22"/>
    <w:bookmarkStart w:id="23" w:name="student-support-and-mentorship"/>
    <w:p>
      <w:pPr>
        <w:pStyle w:val="Heading3"/>
      </w:pPr>
      <w:r>
        <w:t xml:space="preserve">2.2 Student Support and Mentorship</w:t>
      </w:r>
    </w:p>
    <w:p>
      <w:pPr>
        <w:pStyle w:val="FirstParagraph"/>
      </w:pPr>
      <w:r>
        <w:t xml:space="preserve">A critical aspect of the University Lecturer role in Japan is the mentorship of students, particularly graduate students preparing for their own academic careers. The lecturer has been observed holding regular office hours and providing detailed feedback on assignments. This dedication aligns with the Japanese concept of "seishin" (spirit/attitude), showing a genuine commitment to the holistic development of students.</w:t>
      </w:r>
    </w:p>
    <w:p>
      <w:pPr>
        <w:pStyle w:val="BodyText"/>
      </w:pPr>
      <w:r>
        <w:t xml:space="preserve">Feedback from student evaluations indicates high satisfaction levels regarding the lecturer's accessibility and willingness to assist with research guidance. The lecturer has also facilitated connections between students and local research institutes in Kyoto, enhancing the practical experience of the students.</w:t>
      </w:r>
    </w:p>
    <w:bookmarkEnd w:id="23"/>
    <w:bookmarkEnd w:id="24"/>
    <w:bookmarkStart w:id="27" w:name="Xc56ab6bff563263bedad351adc6d95ec1e88427"/>
    <w:p>
      <w:pPr>
        <w:pStyle w:val="Heading2"/>
      </w:pPr>
      <w:r>
        <w:t xml:space="preserve">3. Research Output and Academic Contribution</w:t>
      </w:r>
    </w:p>
    <w:bookmarkStart w:id="25" w:name="publications-and-dissemination"/>
    <w:p>
      <w:pPr>
        <w:pStyle w:val="Heading3"/>
      </w:pPr>
      <w:r>
        <w:t xml:space="preserve">3.1 Publications and Dissemination</w:t>
      </w:r>
    </w:p>
    <w:p>
      <w:pPr>
        <w:pStyle w:val="FirstParagraph"/>
      </w:pPr>
      <w:r>
        <w:t xml:space="preserve">The University Lecturer has maintained a robust research agenda during the review period. Several peer-reviewed articles have been published in reputable international and domestic journals. This output is consistent with the expectations for academic staff in Kyoto, where research excellence is a cornerstone of institutional prestige.</w:t>
      </w:r>
    </w:p>
    <w:p>
      <w:pPr>
        <w:pStyle w:val="BodyText"/>
      </w:pPr>
      <w:r>
        <w:t xml:space="preserve">The research topics addressed by the lecturer are relevant to current global and local challenges. By publishing in both English and Japanese, the lecturer has effectively bridged the gap between international academic communities and the local scholarly environment in Japan. This bilingual approach is highly valued as it promotes the visibility of Kyoto's academic output on the world stage.</w:t>
      </w:r>
    </w:p>
    <w:bookmarkEnd w:id="25"/>
    <w:bookmarkStart w:id="26" w:name="grant-acquisition-and-collaboration"/>
    <w:p>
      <w:pPr>
        <w:pStyle w:val="Heading3"/>
      </w:pPr>
      <w:r>
        <w:t xml:space="preserve">3.2 Grant Acquisition and Collaboration</w:t>
      </w:r>
    </w:p>
    <w:p>
      <w:pPr>
        <w:pStyle w:val="FirstParagraph"/>
      </w:pPr>
      <w:r>
        <w:t xml:space="preserve">The lecturer has actively participated in grant applications, including those funded by the Japan Society for the Promotion of Science (JSPS). While some applications were competitive, the lecturer's involvement in collaborative projects demonstrates a strong network within the academic community. These collaborations often extend beyond the university walls, involving partnerships with cultural organizations and museums in Kyoto, which enriches the research ecosystem.</w:t>
      </w:r>
    </w:p>
    <w:bookmarkEnd w:id="26"/>
    <w:bookmarkEnd w:id="27"/>
    <w:bookmarkStart w:id="28" w:name="service-and-community-engagement"/>
    <w:p>
      <w:pPr>
        <w:pStyle w:val="Heading2"/>
      </w:pPr>
      <w:r>
        <w:t xml:space="preserve">4. Service and Community Engagement</w:t>
      </w:r>
    </w:p>
    <w:p>
      <w:pPr>
        <w:pStyle w:val="FirstParagraph"/>
      </w:pPr>
      <w:r>
        <w:t xml:space="preserve">Beyond teaching and research, the University Lecturer has contributed significantly to the service obligations of the faculty. This includes serving on departmental committees, assisting in the organization of academic conferences, and participating in curriculum development reviews.</w:t>
      </w:r>
    </w:p>
    <w:p>
      <w:pPr>
        <w:pStyle w:val="BodyText"/>
      </w:pPr>
      <w:r>
        <w:t xml:space="preserve">In the context of Kyoto, community engagement is particularly important. The lecturer has participated in public lectures and outreach programs aimed at the general public, helping to disseminate academic knowledge to the local community. This aligns with the Japanese value of "kyosei" (living and working together for the common good), demonstrating that the University Lecturer is not isolated in an ivory tower but is an active participant in the social fabric of Kyoto.</w:t>
      </w:r>
    </w:p>
    <w:bookmarkEnd w:id="28"/>
    <w:bookmarkStart w:id="29" w:name="Xda79409093af40bd3d15ed7d2a5582dbca223f1"/>
    <w:p>
      <w:pPr>
        <w:pStyle w:val="Heading2"/>
      </w:pPr>
      <w:r>
        <w:t xml:space="preserve">5. Areas for Improvement and Recommendations</w:t>
      </w:r>
    </w:p>
    <w:p>
      <w:pPr>
        <w:pStyle w:val="FirstParagraph"/>
      </w:pPr>
      <w:r>
        <w:t xml:space="preserve">While the performance of the University Lecturer is largely satisfactory, there are areas where further development is recommended to meet the evolving standards of higher education in Japan:</w:t>
      </w:r>
    </w:p>
    <w:p>
      <w:pPr>
        <w:numPr>
          <w:ilvl w:val="0"/>
          <w:numId w:val="1001"/>
        </w:numPr>
        <w:pStyle w:val="Compact"/>
      </w:pPr>
      <w:r>
        <w:rPr>
          <w:bCs/>
          <w:b/>
        </w:rPr>
        <w:t xml:space="preserve">Internationalization:</w:t>
      </w:r>
      <w:r>
        <w:t xml:space="preserve"> </w:t>
      </w:r>
      <w:r>
        <w:t xml:space="preserve">Although the lecturer publishes in English, there is an opportunity to increase the number of international co-authored papers to further strengthen global academic ties.</w:t>
      </w:r>
    </w:p>
    <w:p>
      <w:pPr>
        <w:numPr>
          <w:ilvl w:val="0"/>
          <w:numId w:val="1001"/>
        </w:numPr>
        <w:pStyle w:val="Compact"/>
      </w:pPr>
      <w:r>
        <w:rPr>
          <w:bCs/>
          <w:b/>
        </w:rPr>
        <w:t xml:space="preserve">Digital Pedagogy:</w:t>
      </w:r>
      <w:r>
        <w:t xml:space="preserve"> </w:t>
      </w:r>
      <w:r>
        <w:t xml:space="preserve">With the increasing integration of technology in Japanese universities, the lecturer is encouraged to adopt more advanced digital tools for remote and hybrid learning environments.</w:t>
      </w:r>
    </w:p>
    <w:p>
      <w:pPr>
        <w:numPr>
          <w:ilvl w:val="0"/>
          <w:numId w:val="1001"/>
        </w:numPr>
        <w:pStyle w:val="Compact"/>
      </w:pPr>
      <w:r>
        <w:rPr>
          <w:bCs/>
          <w:b/>
        </w:rPr>
        <w:t xml:space="preserve">Grant Success Rate:</w:t>
      </w:r>
      <w:r>
        <w:t xml:space="preserve"> </w:t>
      </w:r>
      <w:r>
        <w:t xml:space="preserve">Continued support and mentorship in writing grant proposals for major national funding bodies is recommended to secure long-term research sustainability.</w:t>
      </w:r>
    </w:p>
    <w:bookmarkEnd w:id="29"/>
    <w:bookmarkStart w:id="30" w:name="overall-assessment-and-rating"/>
    <w:p>
      <w:pPr>
        <w:pStyle w:val="Heading2"/>
      </w:pPr>
      <w:r>
        <w:t xml:space="preserve">6. Overall Assessment and Rating</w:t>
      </w:r>
    </w:p>
    <w:p>
      <w:pPr>
        <w:pStyle w:val="FirstParagraph"/>
      </w:pPr>
      <w:r>
        <w:t xml:space="preserve">Teaching Quality</w:t>
      </w:r>
      <w:r>
        <w:t xml:space="preserve"> </w:t>
      </w:r>
      <w:r>
        <w:t xml:space="preserve">4.5 / 5.0</w:t>
      </w:r>
    </w:p>
    <w:p>
      <w:pPr>
        <w:pStyle w:val="BodyText"/>
      </w:pPr>
      <w:r>
        <w:t xml:space="preserve">Research Productivity</w:t>
      </w:r>
      <w:r>
        <w:t xml:space="preserve"> </w:t>
      </w:r>
      <w:r>
        <w:t xml:space="preserve">4.0 / 5.0</w:t>
      </w:r>
    </w:p>
    <w:p>
      <w:pPr>
        <w:pStyle w:val="BodyText"/>
      </w:pPr>
      <w:r>
        <w:t xml:space="preserve">Service and Leadership</w:t>
      </w:r>
      <w:r>
        <w:t xml:space="preserve"> </w:t>
      </w:r>
      <w:r>
        <w:t xml:space="preserve">4.2 / 5.0</w:t>
      </w:r>
    </w:p>
    <w:p>
      <w:pPr>
        <w:pStyle w:val="BodyText"/>
      </w:pPr>
      <w:r>
        <w:t xml:space="preserve">Overall Performance</w:t>
      </w:r>
      <w:r>
        <w:t xml:space="preserve"> </w:t>
      </w:r>
      <w:r>
        <w:t xml:space="preserve">4.2 / 5.0</w:t>
      </w:r>
    </w:p>
    <w:p>
      <w:pPr>
        <w:pStyle w:val="BodyText"/>
      </w:pPr>
      <w:r>
        <w:t xml:space="preserve">In conclusion, this Peer Review Report affirms that the University Lecturer is performing at a level that meets and, in several areas, exceeds the expectations of the institution in Kyoto, Japan. The lecturer demonstrates a strong commitment to academic excellence, cultural sensitivity, and student development. With continued focus on the recommended areas for improvement, the lecturer is well-positioned to make further significant contributions to the university and the academic community in Japan.</w:t>
      </w:r>
    </w:p>
    <w:bookmarkEnd w:id="30"/>
    <w:p>
      <w:pPr>
        <w:pStyle w:val="BodyText"/>
      </w:pPr>
      <w:r>
        <w:rPr>
          <w:bCs/>
          <w:b/>
        </w:rPr>
        <w:t xml:space="preserve">Reviewer Name:</w:t>
      </w:r>
      <w:r>
        <w:t xml:space="preserve"> </w:t>
      </w:r>
      <w:r>
        <w:t xml:space="preserve">[Name Redacted]</w:t>
      </w:r>
    </w:p>
    <w:p>
      <w:pPr>
        <w:pStyle w:val="BodyText"/>
      </w:pPr>
      <w:r>
        <w:rPr>
          <w:bCs/>
          <w:b/>
        </w:rPr>
        <w:t xml:space="preserve">Title:</w:t>
      </w:r>
      <w:r>
        <w:t xml:space="preserve"> </w:t>
      </w:r>
      <w:r>
        <w:t xml:space="preserve">Senior Professor</w:t>
      </w:r>
    </w:p>
    <w:p>
      <w:pPr>
        <w:pStyle w:val="BodyText"/>
      </w:pPr>
      <w:r>
        <w:rPr>
          <w:bCs/>
          <w:b/>
        </w:rPr>
        <w:t xml:space="preserve">Signature:</w:t>
      </w:r>
      <w:r>
        <w:t xml:space="preserve"> </w:t>
      </w:r>
      <w:r>
        <w:t xml:space="preserve">____________________</w:t>
      </w:r>
    </w:p>
    <w:p>
      <w:pPr>
        <w:pStyle w:val="BodyText"/>
      </w:pPr>
      <w:r>
        <w:rPr>
          <w:bCs/>
          <w:b/>
        </w:rPr>
        <w:t xml:space="preserve">Department Chair:</w:t>
      </w:r>
      <w:r>
        <w:t xml:space="preserve"> </w:t>
      </w:r>
      <w:r>
        <w:t xml:space="preserve">[Name Redacted]</w:t>
      </w:r>
    </w:p>
    <w:p>
      <w:pPr>
        <w:pStyle w:val="BodyText"/>
      </w:pPr>
      <w:r>
        <w:rPr>
          <w:bCs/>
          <w:b/>
        </w:rPr>
        <w:t xml:space="preserve">Title:</w:t>
      </w:r>
      <w:r>
        <w:t xml:space="preserve"> </w:t>
      </w:r>
      <w:r>
        <w:t xml:space="preserve">Chair of Faculty</w:t>
      </w:r>
    </w:p>
    <w:p>
      <w:pPr>
        <w:pStyle w:val="BodyText"/>
      </w:pPr>
      <w:r>
        <w:rPr>
          <w:bCs/>
          <w:b/>
        </w:rPr>
        <w:t xml:space="preserve">Signature:</w:t>
      </w:r>
      <w:r>
        <w:t xml:space="preserve"> </w:t>
      </w:r>
      <w:r>
        <w:t xml:space="preserve">____________________</w:t>
      </w:r>
    </w:p>
    <w:p>
      <w:pPr>
        <w:pStyle w:val="BodyText"/>
      </w:pPr>
      <w:r>
        <w:t xml:space="preserve">Confidential Document - For Internal Use Only</w:t>
      </w:r>
      <w:r>
        <w:br/>
      </w:r>
      <w:r>
        <w:t xml:space="preserve">Prepared in accordance with the Academic Evaluation Guidelines of the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 - Kyoto, Japan</dc:title>
  <dc:creator/>
  <dc:language>en</dc:language>
  <cp:keywords/>
  <dcterms:created xsi:type="dcterms:W3CDTF">2026-10-10T04:35:57Z</dcterms:created>
  <dcterms:modified xsi:type="dcterms:W3CDTF">2026-10-10T04:35:57Z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