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University Lecturer</w:t>
      </w:r>
    </w:p>
    <w:p>
      <w:pPr>
        <w:pStyle w:val="BodyText"/>
      </w:pPr>
      <w:r>
        <w:rPr>
          <w:bCs/>
          <w:b/>
        </w:rPr>
        <w:t xml:space="preserve">Institution Location:</w:t>
      </w:r>
      <w:r>
        <w:t xml:space="preserve"> </w:t>
      </w:r>
      <w:r>
        <w:t xml:space="preserve">Kuala Lumpur, Malaysia</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academic standards and institutional policies governing higher education in Malaysia, specifically within the dynamic academic environment of Kuala Lumpur. The primary objective of this review is to evaluate the professional performance, academic contributions, and pedagogical effectiveness of the University Lecturer under assessment. As Kuala Lumpur continues to emerge as a regional hub for higher education, maintaining rigorous standards of teaching, research, and community engagement is essential. This report provides a comprehensive analysis of the lecturer’s performance, offering constructive feedback to support professional development and institutional excellence.</w:t>
      </w:r>
    </w:p>
    <w:bookmarkEnd w:id="21"/>
    <w:bookmarkStart w:id="22" w:name="X914f4c2f7ab4a64bee4cc057c6554918c235f5b"/>
    <w:p>
      <w:pPr>
        <w:pStyle w:val="Heading2"/>
      </w:pPr>
      <w:r>
        <w:t xml:space="preserve">2. Teaching Effectiveness and Pedagogical Practice</w:t>
      </w:r>
    </w:p>
    <w:p>
      <w:pPr>
        <w:pStyle w:val="FirstParagraph"/>
      </w:pPr>
      <w:r>
        <w:t xml:space="preserve">The University Lecturer has demonstrated a strong commitment to delivering high-quality instruction that aligns with the expectations of Malaysian higher education institutions. Teaching methods employed are student-centered, incorporating interactive lectures, group discussions, and practical exercises that cater to diverse learning styles. The lecturer effectively integrates local and global perspectives into the curriculum, ensuring that students in Kuala Lumpur are well-prepared for both national and international career opportunities.</w:t>
      </w:r>
    </w:p>
    <w:p>
      <w:pPr>
        <w:pStyle w:val="BodyText"/>
      </w:pPr>
      <w:r>
        <w:t xml:space="preserve">Course materials are regularly updated to reflect current developments in the field, and the lecturer makes use of digital learning platforms to enhance accessibility and engagement. Student feedback indicates a high level of satisfaction with the clarity of explanations, fairness in assessment, and the lecturer’s approachability. Furthermore, the lecturer actively encourages critical thinking and problem-solving skills, which are vital competencies for graduates operating in Malaysia’s competitive job market.</w:t>
      </w:r>
    </w:p>
    <w:bookmarkEnd w:id="22"/>
    <w:bookmarkStart w:id="23" w:name="research-and-scholarly-contributions"/>
    <w:p>
      <w:pPr>
        <w:pStyle w:val="Heading2"/>
      </w:pPr>
      <w:r>
        <w:t xml:space="preserve">3. Research and Scholarly Contributions</w:t>
      </w:r>
    </w:p>
    <w:p>
      <w:pPr>
        <w:pStyle w:val="FirstParagraph"/>
      </w:pPr>
      <w:r>
        <w:t xml:space="preserve">In the domain of research, the University Lecturer has shown consistent productivity and scholarly rigor. The lecturer has published peer-reviewed articles in reputable journals, contributing to the advancement of knowledge in their discipline. These publications reflect a strong alignment with national research priorities and demonstrate an understanding of the socio-economic context of Malaysia and the broader Southeast Asian region.</w:t>
      </w:r>
    </w:p>
    <w:p>
      <w:pPr>
        <w:pStyle w:val="BodyText"/>
      </w:pPr>
      <w:r>
        <w:t xml:space="preserve">The lecturer has also been involved in collaborative research projects, both within the institution and with external partners in Kuala Lumpur and beyond. This collaborative approach not only enhances the quality of research output but also fosters academic networking and knowledge exchange. Additionally, the lecturer has successfully secured research grants, showcasing their ability to design compelling research proposals and manage projects effectively.</w:t>
      </w:r>
    </w:p>
    <w:bookmarkEnd w:id="23"/>
    <w:bookmarkStart w:id="24" w:name="Xd0bc19f70d388b223afb604ee7ba3dc9ac2e6c0"/>
    <w:p>
      <w:pPr>
        <w:pStyle w:val="Heading2"/>
      </w:pPr>
      <w:r>
        <w:t xml:space="preserve">4. Curriculum Development and Academic Leadership</w:t>
      </w:r>
    </w:p>
    <w:p>
      <w:pPr>
        <w:pStyle w:val="FirstParagraph"/>
      </w:pPr>
      <w:r>
        <w:t xml:space="preserve">The University Lecturer has played an active role in curriculum development, ensuring that academic programs remain relevant, innovative, and aligned with industry needs. Their contributions have been instrumental in updating course content to reflect emerging trends and technological advancements. In Kuala Lumpur, where the higher education sector is highly competitive, such efforts are crucial for maintaining the institution’s reputation and attracting prospective students.</w:t>
      </w:r>
    </w:p>
    <w:p>
      <w:pPr>
        <w:pStyle w:val="BodyText"/>
      </w:pPr>
      <w:r>
        <w:t xml:space="preserve">Beyond curriculum development, the lecturer has demonstrated leadership by mentoring junior faculty members and participating in academic committees. Their willingness to share best practices and provide guidance contributes to a collaborative and supportive academic culture within the department.</w:t>
      </w:r>
    </w:p>
    <w:bookmarkEnd w:id="24"/>
    <w:bookmarkStart w:id="25" w:name="X773a5502cec955b1805b35cdf3d65decfb6214d"/>
    <w:p>
      <w:pPr>
        <w:pStyle w:val="Heading2"/>
      </w:pPr>
      <w:r>
        <w:t xml:space="preserve">5. Community Engagement and Professional Service</w:t>
      </w:r>
    </w:p>
    <w:p>
      <w:pPr>
        <w:pStyle w:val="FirstParagraph"/>
      </w:pPr>
      <w:r>
        <w:t xml:space="preserve">The University Lecturer has actively engaged with the local community in Kuala Lumpur, participating in outreach programs, public lectures, and industry partnerships. These activities not only enhance the visibility of the institution but also strengthen ties between academia and the broader society. The lecturer’s involvement in professional organizations and conferences further underscores their commitment to staying current with developments in their field and contributing to the academic community at large.</w:t>
      </w:r>
    </w:p>
    <w:bookmarkEnd w:id="25"/>
    <w:bookmarkStart w:id="26" w:name="Xda79409093af40bd3d15ed7d2a5582dbca223f1"/>
    <w:p>
      <w:pPr>
        <w:pStyle w:val="Heading2"/>
      </w:pPr>
      <w:r>
        <w:t xml:space="preserve">6. Areas for Improvement and Recommendations</w:t>
      </w:r>
    </w:p>
    <w:p>
      <w:pPr>
        <w:pStyle w:val="FirstParagraph"/>
      </w:pPr>
      <w:r>
        <w:t xml:space="preserve">While the University Lecturer has performed commendably across all evaluated areas, there are opportunities for further growth. It is recommended that the lecturer continue to expand their research collaborations, particularly with international institutions, to broaden the impact of their scholarly work. Additionally, incorporating more experiential learning components into courses could further enhance student engagement and practical skill development.</w:t>
      </w:r>
    </w:p>
    <w:p>
      <w:pPr>
        <w:pStyle w:val="BodyText"/>
      </w:pPr>
      <w:r>
        <w:t xml:space="preserve">The lecturer is also encouraged to pursue additional professional development opportunities, such as workshops on innovative teaching methodologies and research funding strategies. These efforts will support their ongoing growth and ensure that they remain at the forefront of academic excellence in Malaysia.</w:t>
      </w:r>
    </w:p>
    <w:bookmarkEnd w:id="26"/>
    <w:bookmarkStart w:id="27" w:name="conclusion"/>
    <w:p>
      <w:pPr>
        <w:pStyle w:val="Heading2"/>
      </w:pPr>
      <w:r>
        <w:t xml:space="preserve">7. Conclusion</w:t>
      </w:r>
    </w:p>
    <w:p>
      <w:pPr>
        <w:pStyle w:val="FirstParagraph"/>
      </w:pPr>
      <w:r>
        <w:t xml:space="preserve">In conclusion, this Peer Review Report affirms that the University Lecturer has demonstrated a high level of professionalism, dedication, and competence in teaching, research, and service. Their contributions align well with the strategic goals of higher education institutions in Kuala Lumpur, Malaysia, and they have made meaningful impacts on students, colleagues, and the broader academic community. With continued effort and the implementation of the recommended improvements, the lecturer is well-positioned to further enhance their academic profile and contribute to the institution’s mission of excellence.</w:t>
      </w:r>
    </w:p>
    <w:bookmarkEnd w:id="27"/>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Institution:</w:t>
      </w:r>
      <w:r>
        <w:t xml:space="preserve"> </w:t>
      </w:r>
      <w:r>
        <w:t xml:space="preserve">[Insert Institution]</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Kuala Lumpur, Malaysia</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