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Yangon / Yangon Technological University / Yangon University of Economics (Select Applicable)</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Academic Year 2023-2024</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academic standards and evaluation protocols established for higher education institutions in Yangon, Myanmar. The primary objective of this document is to provide a comprehensive, objective, and constructive assessment of the professional performance of a University Lecturer. This review process is integral to maintaining the high quality of education, research, and community service expected within Myanmar’s leading universities.</w:t>
      </w:r>
    </w:p>
    <w:p>
      <w:pPr>
        <w:pStyle w:val="BodyText"/>
      </w:pPr>
      <w:r>
        <w:t xml:space="preserve">The evaluation focuses on the lecturer’s contributions to teaching excellence, scholarly research, and administrative duties, taking into account the specific cultural and educational context of Yangon. The findings presented herein are intended to support the lecturer’s professional development, inform promotion decisions, and enhance the overall academic environment of the department.</w:t>
      </w:r>
    </w:p>
    <w:bookmarkEnd w:id="21"/>
    <w:bookmarkStart w:id="22" w:name="lecturer-profile"/>
    <w:p>
      <w:pPr>
        <w:pStyle w:val="Heading2"/>
      </w:pPr>
      <w:r>
        <w:t xml:space="preserve">2. Lecturer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Full Name</w:t>
            </w:r>
          </w:p>
        </w:tc>
        <w:tc>
          <w:tcPr/>
          <w:p>
            <w:pPr>
              <w:pStyle w:val="Compact"/>
              <w:jc w:val="left"/>
            </w:pPr>
            <w:r>
              <w:t xml:space="preserve">[Insert Lecturer Name]</w:t>
            </w:r>
          </w:p>
        </w:tc>
      </w:tr>
      <w:tr>
        <w:tc>
          <w:tcPr/>
          <w:p>
            <w:pPr>
              <w:pStyle w:val="Compact"/>
              <w:jc w:val="left"/>
            </w:pPr>
            <w:r>
              <w:t xml:space="preserve">Department</w:t>
            </w:r>
          </w:p>
        </w:tc>
        <w:tc>
          <w:tcPr/>
          <w:p>
            <w:pPr>
              <w:pStyle w:val="Compact"/>
              <w:jc w:val="left"/>
            </w:pPr>
            <w:r>
              <w:t xml:space="preserve">[Insert Department Name]</w:t>
            </w:r>
          </w:p>
        </w:tc>
      </w:tr>
      <w:tr>
        <w:tc>
          <w:tcPr/>
          <w:p>
            <w:pPr>
              <w:pStyle w:val="Compact"/>
              <w:jc w:val="left"/>
            </w:pPr>
            <w:r>
              <w:t xml:space="preserve">Current Rank</w:t>
            </w:r>
          </w:p>
        </w:tc>
        <w:tc>
          <w:tcPr/>
          <w:p>
            <w:pPr>
              <w:pStyle w:val="Compact"/>
              <w:jc w:val="left"/>
            </w:pPr>
            <w:r>
              <w:t xml:space="preserve">University Lecturer</w:t>
            </w:r>
          </w:p>
        </w:tc>
      </w:tr>
      <w:tr>
        <w:tc>
          <w:tcPr/>
          <w:p>
            <w:pPr>
              <w:pStyle w:val="Compact"/>
              <w:jc w:val="left"/>
            </w:pPr>
            <w:r>
              <w:t xml:space="preserve">Years of Service</w:t>
            </w:r>
          </w:p>
        </w:tc>
        <w:tc>
          <w:tcPr/>
          <w:p>
            <w:pPr>
              <w:pStyle w:val="Compact"/>
              <w:jc w:val="left"/>
            </w:pPr>
            <w:r>
              <w:t xml:space="preserve">[Insert Number]</w:t>
            </w:r>
          </w:p>
        </w:tc>
      </w:tr>
      <w:tr>
        <w:tc>
          <w:tcPr/>
          <w:p>
            <w:pPr>
              <w:pStyle w:val="Compact"/>
              <w:jc w:val="left"/>
            </w:pPr>
            <w:r>
              <w:t xml:space="preserve">Primary Subject Area</w:t>
            </w:r>
          </w:p>
        </w:tc>
        <w:tc>
          <w:tcPr/>
          <w:p>
            <w:pPr>
              <w:pStyle w:val="Compact"/>
              <w:jc w:val="left"/>
            </w:pPr>
            <w:r>
              <w:t xml:space="preserve">[Insert Subject]</w:t>
            </w:r>
          </w:p>
        </w:tc>
      </w:tr>
    </w:tbl>
    <w:bookmarkEnd w:id="22"/>
    <w:bookmarkStart w:id="25" w:name="teaching-effectiveness"/>
    <w:p>
      <w:pPr>
        <w:pStyle w:val="Heading2"/>
      </w:pPr>
      <w:r>
        <w:t xml:space="preserve">3. Teaching Effectiveness</w:t>
      </w:r>
    </w:p>
    <w:bookmarkStart w:id="23" w:name="classroom-instruction-and-pedagogy"/>
    <w:p>
      <w:pPr>
        <w:pStyle w:val="Heading3"/>
      </w:pPr>
      <w:r>
        <w:t xml:space="preserve">3.1 Classroom Instruction and Pedagogy</w:t>
      </w:r>
    </w:p>
    <w:p>
      <w:pPr>
        <w:pStyle w:val="FirstParagraph"/>
      </w:pPr>
      <w:r>
        <w:t xml:space="preserve">The University Lecturer demonstrates a strong command of the subject matter and employs effective teaching methodologies suitable for the diverse student population in Yangon. Observations indicate that the lecturer utilizes a blend of traditional lecture formats and interactive discussions, which aligns well with the evolving educational landscape in Myanmar. The lecturer is commended for their ability to explain complex concepts clearly, ensuring that students from various academic backgrounds can grasp the material.</w:t>
      </w:r>
    </w:p>
    <w:p>
      <w:pPr>
        <w:pStyle w:val="BodyText"/>
      </w:pPr>
      <w:r>
        <w:t xml:space="preserve">Furthermore, the lecturer has shown initiative in integrating modern educational tools, such as digital presentations and online resources, which is particularly valuable given the increasing digitalization of higher education in Yangon. The classroom environment is respectful and conducive to learning, reflecting the cultural values of respect for educators prevalent in Myanmar.</w:t>
      </w:r>
    </w:p>
    <w:bookmarkEnd w:id="23"/>
    <w:bookmarkStart w:id="24" w:name="student-engagement-and-support"/>
    <w:p>
      <w:pPr>
        <w:pStyle w:val="Heading3"/>
      </w:pPr>
      <w:r>
        <w:t xml:space="preserve">3.2 Student Engagement and Support</w:t>
      </w:r>
    </w:p>
    <w:p>
      <w:pPr>
        <w:pStyle w:val="FirstParagraph"/>
      </w:pPr>
      <w:r>
        <w:t xml:space="preserve">The lecturer maintains open office hours and is readily available to assist students with academic challenges. Feedback from students suggests that the lecturer is approachable and provides constructive feedback on assignments and examinations. This supportive approach is crucial for student success, especially in a competitive academic environment like Yangon. The lecturer also encourages critical thinking and independent research, fostering a deeper understanding of the subject matter among students.</w:t>
      </w:r>
    </w:p>
    <w:bookmarkEnd w:id="24"/>
    <w:bookmarkEnd w:id="25"/>
    <w:bookmarkStart w:id="28" w:name="research-and-scholarly-activities"/>
    <w:p>
      <w:pPr>
        <w:pStyle w:val="Heading2"/>
      </w:pPr>
      <w:r>
        <w:t xml:space="preserve">4. Research and Scholarly Activities</w:t>
      </w:r>
    </w:p>
    <w:bookmarkStart w:id="26" w:name="publications-and-contributions"/>
    <w:p>
      <w:pPr>
        <w:pStyle w:val="Heading3"/>
      </w:pPr>
      <w:r>
        <w:t xml:space="preserve">4.1 Publications and Contributions</w:t>
      </w:r>
    </w:p>
    <w:p>
      <w:pPr>
        <w:pStyle w:val="FirstParagraph"/>
      </w:pPr>
      <w:r>
        <w:t xml:space="preserve">During the review period, the University Lecturer has made significant contributions to the field through various publications. The lecturer has authored and co-authored several research papers in reputable journals, both within Myanmar and internationally. These publications demonstrate a commitment to advancing knowledge and contributing to the global academic discourse. The research topics are relevant to the local context of Yangon and Myanmar, addressing issues such as [Insert Relevant Topics, e.g., economic development, technological innovation, cultural studies].</w:t>
      </w:r>
    </w:p>
    <w:bookmarkEnd w:id="26"/>
    <w:bookmarkStart w:id="27" w:name="research-projects-and-grants"/>
    <w:p>
      <w:pPr>
        <w:pStyle w:val="Heading3"/>
      </w:pPr>
      <w:r>
        <w:t xml:space="preserve">4.2 Research Projects and Grants</w:t>
      </w:r>
    </w:p>
    <w:p>
      <w:pPr>
        <w:pStyle w:val="FirstParagraph"/>
      </w:pPr>
      <w:r>
        <w:t xml:space="preserve">The lecturer has actively participated in research projects funded by national and international organizations. These projects have not only enhanced the lecturer’s expertise but also brought recognition to the university. The ability to secure funding and manage research projects effectively is a testament to the lecturer’s professionalism and dedication. Additionally, the lecturer has supervised undergraduate and postgraduate students in their research endeavors, providing valuable mentorship and guidance.</w:t>
      </w:r>
    </w:p>
    <w:bookmarkEnd w:id="27"/>
    <w:bookmarkEnd w:id="28"/>
    <w:bookmarkStart w:id="31" w:name="X73e4266945a98addeb700f94079427ca363e7c3"/>
    <w:p>
      <w:pPr>
        <w:pStyle w:val="Heading2"/>
      </w:pPr>
      <w:r>
        <w:t xml:space="preserve">5. Service and Professional Responsibilities</w:t>
      </w:r>
    </w:p>
    <w:bookmarkStart w:id="29" w:name="departmental-and-university-service"/>
    <w:p>
      <w:pPr>
        <w:pStyle w:val="Heading3"/>
      </w:pPr>
      <w:r>
        <w:t xml:space="preserve">5.1 Departmental and University Service</w:t>
      </w:r>
    </w:p>
    <w:p>
      <w:pPr>
        <w:pStyle w:val="FirstParagraph"/>
      </w:pPr>
      <w:r>
        <w:t xml:space="preserve">The University Lecturer has been an active member of the department, contributing to various committees and initiatives. The lecturer has served on the curriculum development committee, helping to update and improve the course offerings to meet the needs of students and the job market in Yangon. Additionally, the lecturer has participated in university-wide events and activities, promoting a sense of community and collaboration among faculty members.</w:t>
      </w:r>
    </w:p>
    <w:bookmarkEnd w:id="29"/>
    <w:bookmarkStart w:id="30" w:name="community-engagement"/>
    <w:p>
      <w:pPr>
        <w:pStyle w:val="Heading3"/>
      </w:pPr>
      <w:r>
        <w:t xml:space="preserve">5.2 Community Engagement</w:t>
      </w:r>
    </w:p>
    <w:p>
      <w:pPr>
        <w:pStyle w:val="FirstParagraph"/>
      </w:pPr>
      <w:r>
        <w:t xml:space="preserve">Recognizing the importance of community engagement, the lecturer has been involved in outreach programs and public lectures in Yangon. These activities have helped to bridge the gap between the university and the local community, fostering a positive relationship and demonstrating the university’s commitment to societal development. The lecturer’s efforts in this area are highly commendable and align with the mission of higher education institutions in Myanmar.</w:t>
      </w:r>
    </w:p>
    <w:bookmarkEnd w:id="30"/>
    <w:bookmarkEnd w:id="31"/>
    <w:bookmarkStart w:id="34" w:name="strengths-and-areas-for-improvement"/>
    <w:p>
      <w:pPr>
        <w:pStyle w:val="Heading2"/>
      </w:pPr>
      <w:r>
        <w:t xml:space="preserve">6. Strengths and Areas for Improvement</w:t>
      </w:r>
    </w:p>
    <w:bookmarkStart w:id="32" w:name="strengths"/>
    <w:p>
      <w:pPr>
        <w:pStyle w:val="Heading3"/>
      </w:pPr>
      <w:r>
        <w:t xml:space="preserve">6.1 Strengths</w:t>
      </w:r>
    </w:p>
    <w:p>
      <w:pPr>
        <w:numPr>
          <w:ilvl w:val="0"/>
          <w:numId w:val="1001"/>
        </w:numPr>
        <w:pStyle w:val="Compact"/>
      </w:pPr>
      <w:r>
        <w:t xml:space="preserve">Strong subject matter expertise and effective teaching methods.</w:t>
      </w:r>
    </w:p>
    <w:p>
      <w:pPr>
        <w:numPr>
          <w:ilvl w:val="0"/>
          <w:numId w:val="1001"/>
        </w:numPr>
        <w:pStyle w:val="Compact"/>
      </w:pPr>
      <w:r>
        <w:t xml:space="preserve">Active research contributions and successful grant acquisitions.</w:t>
      </w:r>
    </w:p>
    <w:p>
      <w:pPr>
        <w:numPr>
          <w:ilvl w:val="0"/>
          <w:numId w:val="1001"/>
        </w:numPr>
        <w:pStyle w:val="Compact"/>
      </w:pPr>
      <w:r>
        <w:t xml:space="preserve">Commitment to student support and mentorship.</w:t>
      </w:r>
    </w:p>
    <w:p>
      <w:pPr>
        <w:numPr>
          <w:ilvl w:val="0"/>
          <w:numId w:val="1001"/>
        </w:numPr>
        <w:pStyle w:val="Compact"/>
      </w:pPr>
      <w:r>
        <w:t xml:space="preserve">Active participation in departmental and university service.</w:t>
      </w:r>
    </w:p>
    <w:p>
      <w:pPr>
        <w:numPr>
          <w:ilvl w:val="0"/>
          <w:numId w:val="1001"/>
        </w:numPr>
        <w:pStyle w:val="Compact"/>
      </w:pPr>
      <w:r>
        <w:t xml:space="preserve">Engagement with the local community in Yangon.</w:t>
      </w:r>
    </w:p>
    <w:bookmarkEnd w:id="32"/>
    <w:bookmarkStart w:id="33" w:name="areas-for-improvement"/>
    <w:p>
      <w:pPr>
        <w:pStyle w:val="Heading3"/>
      </w:pPr>
      <w:r>
        <w:t xml:space="preserve">6.2 Areas for Improvement</w:t>
      </w:r>
    </w:p>
    <w:p>
      <w:pPr>
        <w:numPr>
          <w:ilvl w:val="0"/>
          <w:numId w:val="1002"/>
        </w:numPr>
        <w:pStyle w:val="Compact"/>
      </w:pPr>
      <w:r>
        <w:t xml:space="preserve">Further integration of technology in teaching to enhance student engagement.</w:t>
      </w:r>
    </w:p>
    <w:p>
      <w:pPr>
        <w:numPr>
          <w:ilvl w:val="0"/>
          <w:numId w:val="1002"/>
        </w:numPr>
        <w:pStyle w:val="Compact"/>
      </w:pPr>
      <w:r>
        <w:t xml:space="preserve">Increased collaboration with international researchers to broaden the impact of research.</w:t>
      </w:r>
    </w:p>
    <w:p>
      <w:pPr>
        <w:numPr>
          <w:ilvl w:val="0"/>
          <w:numId w:val="1002"/>
        </w:numPr>
        <w:pStyle w:val="Compact"/>
      </w:pPr>
      <w:r>
        <w:t xml:space="preserve">Development of more interdisciplinary courses to address complex issues in Myanmar.</w:t>
      </w:r>
    </w:p>
    <w:bookmarkEnd w:id="33"/>
    <w:bookmarkEnd w:id="34"/>
    <w:bookmarkStart w:id="35" w:name="conclusion-and-recommendations"/>
    <w:p>
      <w:pPr>
        <w:pStyle w:val="Heading2"/>
      </w:pPr>
      <w:r>
        <w:t xml:space="preserve">7. Conclusion and Recommendations</w:t>
      </w:r>
    </w:p>
    <w:p>
      <w:pPr>
        <w:pStyle w:val="FirstParagraph"/>
      </w:pPr>
      <w:r>
        <w:t xml:space="preserve">Based on the comprehensive evaluation of the University Lecturer’s performance, it is evident that the lecturer has made significant contributions to teaching, research, and service. The lecturer’s dedication to excellence and commitment to the academic community in Yangon are highly commendable. The areas for improvement identified in this report are intended to provide guidance for future professional development.</w:t>
      </w:r>
    </w:p>
    <w:p>
      <w:pPr>
        <w:pStyle w:val="BodyText"/>
      </w:pPr>
      <w:r>
        <w:t xml:space="preserve">It is recommended that the University Lecturer continue to pursue opportunities for professional growth, including attending workshops and conferences, collaborating with international researchers, and exploring new teaching methodologies. The department and university should provide support and resources to facilitate these efforts. Overall, the lecturer’s performance meets and exceeds the expectations for their rank, and they are well-positioned for future advancement within the academic hierarchy.</w:t>
      </w:r>
    </w:p>
    <w:bookmarkEnd w:id="35"/>
    <w:p>
      <w:pPr>
        <w:pStyle w:val="BodyText"/>
      </w:pPr>
      <w:r>
        <w:rPr>
          <w:bCs/>
          <w:b/>
        </w:rPr>
        <w:t xml:space="preserve">Reviewed by:</w:t>
      </w:r>
    </w:p>
    <w:p>
      <w:pPr>
        <w:pStyle w:val="BodyText"/>
      </w:pPr>
      <w:r>
        <w:t xml:space="preserve">Name: [Insert Reviewer Name]</w:t>
      </w:r>
    </w:p>
    <w:p>
      <w:pPr>
        <w:pStyle w:val="BodyText"/>
      </w:pPr>
      <w:r>
        <w:t xml:space="preserve">Position: [Insert Reviewer Position]</w:t>
      </w:r>
    </w:p>
    <w:p>
      <w:pPr>
        <w:pStyle w:val="BodyText"/>
      </w:pPr>
      <w:r>
        <w:t xml:space="preserve">Signature: _________________________</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Yangon, Myanmar</dc:title>
  <dc:creator/>
  <dc:language>en</dc:language>
  <cp:keywords/>
  <dcterms:created xsi:type="dcterms:W3CDTF">2026-10-10T05:10:14Z</dcterms:created>
  <dcterms:modified xsi:type="dcterms:W3CDTF">2026-10-10T05:10:14Z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