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University Lecturer</w:t>
      </w:r>
    </w:p>
    <w:p>
      <w:pPr>
        <w:pStyle w:val="BodyText"/>
      </w:pPr>
      <w:r>
        <w:rPr>
          <w:bCs/>
          <w:b/>
        </w:rPr>
        <w:t xml:space="preserve">Institution:</w:t>
      </w:r>
      <w:r>
        <w:t xml:space="preserve"> </w:t>
      </w:r>
      <w:r>
        <w:t xml:space="preserve">University in Amsterdam, Netherlands</w:t>
      </w:r>
    </w:p>
    <w:p>
      <w:pPr>
        <w:pStyle w:val="BodyText"/>
      </w:pPr>
      <w:r>
        <w:rPr>
          <w:bCs/>
          <w:b/>
        </w:rPr>
        <w:t xml:space="preserve">Date of Review:</w:t>
      </w:r>
      <w:r>
        <w:t xml:space="preserve"> </w:t>
      </w:r>
      <w:r>
        <w:t xml:space="preserve">[Insert Date]</w:t>
      </w:r>
    </w:p>
    <w:p>
      <w:pPr>
        <w:pStyle w:val="BodyText"/>
      </w:pPr>
      <w:r>
        <w:rPr>
          <w:bCs/>
          <w:b/>
        </w:rPr>
        <w:t xml:space="preserve">Review Period:</w:t>
      </w:r>
      <w:r>
        <w:t xml:space="preserve"> </w:t>
      </w:r>
      <w:r>
        <w:t xml:space="preserve">[Insert Start Date] to [Insert End Date]</w:t>
      </w:r>
    </w:p>
    <w:bookmarkEnd w:id="20"/>
    <w:bookmarkStart w:id="21" w:name="introduction"/>
    <w:p>
      <w:pPr>
        <w:pStyle w:val="Heading2"/>
      </w:pPr>
      <w:r>
        <w:t xml:space="preserve">1. Introduction</w:t>
      </w:r>
    </w:p>
    <w:p>
      <w:pPr>
        <w:pStyle w:val="FirstParagraph"/>
      </w:pPr>
      <w:r>
        <w:t xml:space="preserve">This Peer Review Report has been prepared in accordance with the academic standards and evaluation procedures commonly applied at universities in Amsterdam, Netherlands. The purpose of this report is to provide a comprehensive, objective, and constructive assessment of the performance of a University Lecturer. The review focuses on teaching quality, research contributions, professional development, collegiality, and alignment with institutional and national expectations in the Dutch higher education context.</w:t>
      </w:r>
    </w:p>
    <w:p>
      <w:pPr>
        <w:pStyle w:val="BodyText"/>
      </w:pPr>
      <w:r>
        <w:t xml:space="preserve">The evaluation is based on classroom observations, student feedback, analysis of teaching materials, research output, participation in departmental activities, and discussions with colleagues and supervisors. The report aims to support the lecturer’s professional growth while ensuring that the institution maintains high academic standards consistent with the expectations of universities in Amsterdam, Netherlands.</w:t>
      </w:r>
    </w:p>
    <w:bookmarkEnd w:id="21"/>
    <w:bookmarkStart w:id="25" w:name="teaching-performance"/>
    <w:p>
      <w:pPr>
        <w:pStyle w:val="Heading2"/>
      </w:pPr>
      <w:r>
        <w:t xml:space="preserve">2. Teaching Performance</w:t>
      </w:r>
    </w:p>
    <w:bookmarkStart w:id="22" w:name="course-design-and-delivery"/>
    <w:p>
      <w:pPr>
        <w:pStyle w:val="Heading3"/>
      </w:pPr>
      <w:r>
        <w:t xml:space="preserve">2.1 Course Design and Delivery</w:t>
      </w:r>
    </w:p>
    <w:p>
      <w:pPr>
        <w:pStyle w:val="FirstParagraph"/>
      </w:pPr>
      <w:r>
        <w:t xml:space="preserve">The University Lecturer demonstrates a strong ability to design and deliver courses that are academically rigorous, well-structured, and aligned with learning outcomes. Teaching materials are regularly updated to reflect current developments in the field and are accessible to a diverse student population. The lecturer effectively integrates interactive elements, such as group discussions, case studies, and digital tools, which are consistent with modern pedagogical practices in Amsterdam, Netherlands.</w:t>
      </w:r>
    </w:p>
    <w:bookmarkEnd w:id="22"/>
    <w:bookmarkStart w:id="23" w:name="student-engagement-and-support"/>
    <w:p>
      <w:pPr>
        <w:pStyle w:val="Heading3"/>
      </w:pPr>
      <w:r>
        <w:t xml:space="preserve">2.2 Student Engagement and Support</w:t>
      </w:r>
    </w:p>
    <w:p>
      <w:pPr>
        <w:pStyle w:val="FirstParagraph"/>
      </w:pPr>
      <w:r>
        <w:t xml:space="preserve">The lecturer fosters an inclusive and supportive learning environment, encouraging active participation and critical thinking. Office hours are used effectively to provide individualized guidance, and feedback on assignments is timely, constructive, and aligned with assessment criteria. Student evaluations indicate high levels of satisfaction with the lecturer’s clarity, approachability, and commitment to student success.</w:t>
      </w:r>
    </w:p>
    <w:bookmarkEnd w:id="23"/>
    <w:bookmarkStart w:id="24" w:name="assessment-and-feedback"/>
    <w:p>
      <w:pPr>
        <w:pStyle w:val="Heading3"/>
      </w:pPr>
      <w:r>
        <w:t xml:space="preserve">2.3 Assessment and Feedback</w:t>
      </w:r>
    </w:p>
    <w:p>
      <w:pPr>
        <w:pStyle w:val="FirstParagraph"/>
      </w:pPr>
      <w:r>
        <w:t xml:space="preserve">Assessment methods are varied, transparent, and designed to measure both knowledge acquisition and analytical skills. The lecturer adheres to institutional guidelines for grading and provides detailed feedback that helps students understand their strengths and areas for improvement. This approach is in line with the quality assurance standards expected of a University Lecturer in Amsterdam, Netherlands.</w:t>
      </w:r>
    </w:p>
    <w:bookmarkEnd w:id="24"/>
    <w:bookmarkEnd w:id="25"/>
    <w:bookmarkStart w:id="29" w:name="research-and-scholarly-activity"/>
    <w:p>
      <w:pPr>
        <w:pStyle w:val="Heading2"/>
      </w:pPr>
      <w:r>
        <w:t xml:space="preserve">3. Research and Scholarly Activity</w:t>
      </w:r>
    </w:p>
    <w:bookmarkStart w:id="26" w:name="research-output"/>
    <w:p>
      <w:pPr>
        <w:pStyle w:val="Heading3"/>
      </w:pPr>
      <w:r>
        <w:t xml:space="preserve">3.1 Research Output</w:t>
      </w:r>
    </w:p>
    <w:p>
      <w:pPr>
        <w:pStyle w:val="FirstParagraph"/>
      </w:pPr>
      <w:r>
        <w:t xml:space="preserve">The University Lecturer has maintained a consistent research profile, with publications in peer-reviewed journals and contributions to academic conferences. The research is relevant to the lecturer’s teaching areas and contributes to the department’s research agenda. The quality and impact of the publications are commensurate with the expectations for a University Lecturer in Amsterdam, Netherlands.</w:t>
      </w:r>
    </w:p>
    <w:bookmarkEnd w:id="26"/>
    <w:bookmarkStart w:id="27" w:name="research-integration-into-teaching"/>
    <w:p>
      <w:pPr>
        <w:pStyle w:val="Heading3"/>
      </w:pPr>
      <w:r>
        <w:t xml:space="preserve">3.2 Research Integration into Teaching</w:t>
      </w:r>
    </w:p>
    <w:p>
      <w:pPr>
        <w:pStyle w:val="FirstParagraph"/>
      </w:pPr>
      <w:r>
        <w:t xml:space="preserve">The lecturer successfully integrates current research findings into course content, providing students with exposure to cutting-edge developments in the field. This integration enhances the learning experience and encourages students to engage with research as active participants rather than passive recipients of knowledge.</w:t>
      </w:r>
    </w:p>
    <w:bookmarkEnd w:id="27"/>
    <w:bookmarkStart w:id="28" w:name="collaboration-and-funding"/>
    <w:p>
      <w:pPr>
        <w:pStyle w:val="Heading3"/>
      </w:pPr>
      <w:r>
        <w:t xml:space="preserve">3.3 Collaboration and Funding</w:t>
      </w:r>
    </w:p>
    <w:p>
      <w:pPr>
        <w:pStyle w:val="FirstParagraph"/>
      </w:pPr>
      <w:r>
        <w:t xml:space="preserve">The lecturer has demonstrated initiative in seeking collaborative research opportunities, both within the institution and with external partners. Efforts to secure research funding are ongoing, and the lecturer actively contributes to grant proposals and research projects that align with the strategic goals of the university in Amsterdam, Netherlands.</w:t>
      </w:r>
    </w:p>
    <w:bookmarkEnd w:id="28"/>
    <w:bookmarkEnd w:id="29"/>
    <w:bookmarkStart w:id="32" w:name="X4e4078f8f61da537d6902b64755bb9db9e98556"/>
    <w:p>
      <w:pPr>
        <w:pStyle w:val="Heading2"/>
      </w:pPr>
      <w:r>
        <w:t xml:space="preserve">4. Professional Development and Collegiality</w:t>
      </w:r>
    </w:p>
    <w:bookmarkStart w:id="30" w:name="professional-growth"/>
    <w:p>
      <w:pPr>
        <w:pStyle w:val="Heading3"/>
      </w:pPr>
      <w:r>
        <w:t xml:space="preserve">4.1 Professional Growth</w:t>
      </w:r>
    </w:p>
    <w:p>
      <w:pPr>
        <w:pStyle w:val="FirstParagraph"/>
      </w:pPr>
      <w:r>
        <w:t xml:space="preserve">The University Lecturer shows a strong commitment to continuous professional development. Participation in teaching workshops, research seminars, and academic networks reflects an ongoing effort to enhance pedagogical skills and research expertise. This dedication is consistent with the expectations for academic staff in Amsterdam, Netherlands, where lifelong learning is highly valued.</w:t>
      </w:r>
    </w:p>
    <w:bookmarkEnd w:id="30"/>
    <w:bookmarkStart w:id="31" w:name="collegiality-and-service"/>
    <w:p>
      <w:pPr>
        <w:pStyle w:val="Heading3"/>
      </w:pPr>
      <w:r>
        <w:t xml:space="preserve">4.2 Collegiality and Service</w:t>
      </w:r>
    </w:p>
    <w:p>
      <w:pPr>
        <w:pStyle w:val="FirstParagraph"/>
      </w:pPr>
      <w:r>
        <w:t xml:space="preserve">The lecturer is an active and constructive member of the academic community. Contributions to departmental meetings, curriculum development, and student advisory committees are regular and meaningful. The lecturer collaborates effectively with colleagues, supports junior staff, and contributes to a positive and inclusive workplace culture.</w:t>
      </w:r>
    </w:p>
    <w:bookmarkEnd w:id="31"/>
    <w:bookmarkEnd w:id="32"/>
    <w:bookmarkStart w:id="33" w:name="strengths"/>
    <w:p>
      <w:pPr>
        <w:pStyle w:val="Heading2"/>
      </w:pPr>
      <w:r>
        <w:t xml:space="preserve">5. Strengths</w:t>
      </w:r>
    </w:p>
    <w:p>
      <w:pPr>
        <w:numPr>
          <w:ilvl w:val="0"/>
          <w:numId w:val="1001"/>
        </w:numPr>
        <w:pStyle w:val="Compact"/>
      </w:pPr>
      <w:r>
        <w:t xml:space="preserve">Clear and engaging teaching style that promotes student learning and critical thinking.</w:t>
      </w:r>
    </w:p>
    <w:p>
      <w:pPr>
        <w:numPr>
          <w:ilvl w:val="0"/>
          <w:numId w:val="1001"/>
        </w:numPr>
        <w:pStyle w:val="Compact"/>
      </w:pPr>
      <w:r>
        <w:t xml:space="preserve">Strong research profile with relevant and impactful publications.</w:t>
      </w:r>
    </w:p>
    <w:p>
      <w:pPr>
        <w:numPr>
          <w:ilvl w:val="0"/>
          <w:numId w:val="1001"/>
        </w:numPr>
        <w:pStyle w:val="Compact"/>
      </w:pPr>
      <w:r>
        <w:t xml:space="preserve">Effective integration of research into teaching, enriching the student experience.</w:t>
      </w:r>
    </w:p>
    <w:p>
      <w:pPr>
        <w:numPr>
          <w:ilvl w:val="0"/>
          <w:numId w:val="1001"/>
        </w:numPr>
        <w:pStyle w:val="Compact"/>
      </w:pPr>
      <w:r>
        <w:t xml:space="preserve">High level of professionalism, collegiality, and commitment to institutional goals.</w:t>
      </w:r>
    </w:p>
    <w:p>
      <w:pPr>
        <w:numPr>
          <w:ilvl w:val="0"/>
          <w:numId w:val="1001"/>
        </w:numPr>
        <w:pStyle w:val="Compact"/>
      </w:pPr>
      <w:r>
        <w:t xml:space="preserve">Responsive and supportive approach to student feedback and development.</w:t>
      </w:r>
    </w:p>
    <w:bookmarkEnd w:id="33"/>
    <w:bookmarkStart w:id="34" w:name="areas-for-improvement"/>
    <w:p>
      <w:pPr>
        <w:pStyle w:val="Heading2"/>
      </w:pPr>
      <w:r>
        <w:t xml:space="preserve">6. Areas for Improvement</w:t>
      </w:r>
    </w:p>
    <w:p>
      <w:pPr>
        <w:numPr>
          <w:ilvl w:val="0"/>
          <w:numId w:val="1002"/>
        </w:numPr>
        <w:pStyle w:val="Compact"/>
      </w:pPr>
      <w:r>
        <w:t xml:space="preserve">Further diversification of assessment methods to accommodate different learning styles.</w:t>
      </w:r>
    </w:p>
    <w:p>
      <w:pPr>
        <w:numPr>
          <w:ilvl w:val="0"/>
          <w:numId w:val="1002"/>
        </w:numPr>
        <w:pStyle w:val="Compact"/>
      </w:pPr>
      <w:r>
        <w:t xml:space="preserve">Increased involvement in interdisciplinary research collaborations.</w:t>
      </w:r>
    </w:p>
    <w:p>
      <w:pPr>
        <w:numPr>
          <w:ilvl w:val="0"/>
          <w:numId w:val="1002"/>
        </w:numPr>
        <w:pStyle w:val="Compact"/>
      </w:pPr>
      <w:r>
        <w:t xml:space="preserve">Enhanced use of digital learning platforms to support blended learning approaches.</w:t>
      </w:r>
    </w:p>
    <w:p>
      <w:pPr>
        <w:numPr>
          <w:ilvl w:val="0"/>
          <w:numId w:val="1002"/>
        </w:numPr>
        <w:pStyle w:val="Compact"/>
      </w:pPr>
      <w:r>
        <w:t xml:space="preserve">More active participation in external academic networks and conferences.</w:t>
      </w:r>
    </w:p>
    <w:bookmarkEnd w:id="34"/>
    <w:bookmarkStart w:id="35" w:name="recommendations"/>
    <w:p>
      <w:pPr>
        <w:pStyle w:val="Heading2"/>
      </w:pPr>
      <w:r>
        <w:t xml:space="preserve">7. Recommendations</w:t>
      </w:r>
    </w:p>
    <w:p>
      <w:pPr>
        <w:pStyle w:val="FirstParagraph"/>
      </w:pPr>
      <w:r>
        <w:t xml:space="preserve">Based on the findings of this Peer Review Report, the following recommendations are made for the University Lecturer:</w:t>
      </w:r>
    </w:p>
    <w:p>
      <w:pPr>
        <w:numPr>
          <w:ilvl w:val="0"/>
          <w:numId w:val="1003"/>
        </w:numPr>
        <w:pStyle w:val="Compact"/>
      </w:pPr>
      <w:r>
        <w:t xml:space="preserve">Continue to refine teaching practices by incorporating innovative pedagogical strategies and digital tools.</w:t>
      </w:r>
    </w:p>
    <w:p>
      <w:pPr>
        <w:numPr>
          <w:ilvl w:val="0"/>
          <w:numId w:val="1003"/>
        </w:numPr>
        <w:pStyle w:val="Compact"/>
      </w:pPr>
      <w:r>
        <w:t xml:space="preserve">Pursue additional research collaborations, particularly with partners outside the immediate discipline.</w:t>
      </w:r>
    </w:p>
    <w:p>
      <w:pPr>
        <w:numPr>
          <w:ilvl w:val="0"/>
          <w:numId w:val="1003"/>
        </w:numPr>
        <w:pStyle w:val="Compact"/>
      </w:pPr>
      <w:r>
        <w:t xml:space="preserve">Seek opportunities to present research at international conferences to increase visibility and impact.</w:t>
      </w:r>
    </w:p>
    <w:p>
      <w:pPr>
        <w:numPr>
          <w:ilvl w:val="0"/>
          <w:numId w:val="1003"/>
        </w:numPr>
        <w:pStyle w:val="Compact"/>
      </w:pPr>
      <w:r>
        <w:t xml:space="preserve">Engage more actively in curriculum development and quality assurance initiatives at the institutional level.</w:t>
      </w:r>
    </w:p>
    <w:p>
      <w:pPr>
        <w:numPr>
          <w:ilvl w:val="0"/>
          <w:numId w:val="1003"/>
        </w:numPr>
        <w:pStyle w:val="Compact"/>
      </w:pPr>
      <w:r>
        <w:t xml:space="preserve">Maintain a strong focus on student support and feedback to further enhance the learning experience.</w:t>
      </w:r>
    </w:p>
    <w:p>
      <w:pPr>
        <w:pStyle w:val="FirstParagraph"/>
      </w:pPr>
      <w:r>
        <w:t xml:space="preserve">These recommendations are intended to support the lecturer’s ongoing professional development and to ensure continued alignment with the high standards expected of academic staff in Amsterdam, Netherlands.</w:t>
      </w:r>
    </w:p>
    <w:bookmarkEnd w:id="35"/>
    <w:bookmarkStart w:id="36" w:name="conclusion"/>
    <w:p>
      <w:pPr>
        <w:pStyle w:val="Heading2"/>
      </w:pPr>
      <w:r>
        <w:t xml:space="preserve">8. Conclusion</w:t>
      </w:r>
    </w:p>
    <w:p>
      <w:pPr>
        <w:pStyle w:val="FirstParagraph"/>
      </w:pPr>
      <w:r>
        <w:t xml:space="preserve">This Peer Review Report confirms that the University Lecturer performs at a level that meets and, in several areas, exceeds the expectations for their role. The lecturer’s commitment to teaching excellence, research productivity, and professional collaboration makes a valuable contribution to the academic community in Amsterdam, Netherlands. With continued attention to the areas for improvement identified in this report, the lecturer is well-positioned for further growth and success in their academic career.</w:t>
      </w:r>
    </w:p>
    <w:bookmarkEnd w:id="36"/>
    <w:p>
      <w:pPr>
        <w:pStyle w:val="BodyText"/>
      </w:pPr>
      <w:r>
        <w:rPr>
          <w:bCs/>
          <w:b/>
        </w:rPr>
        <w:t xml:space="preserve">Reviewer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Institution:</w:t>
      </w:r>
      <w:r>
        <w:t xml:space="preserve"> </w:t>
      </w:r>
      <w:r>
        <w:t xml:space="preserve">[Insert Institution]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Amsterdam, Netherlands</dc:title>
  <dc:creator/>
  <dc:language>en</dc:language>
  <cp:keywords/>
  <dcterms:created xsi:type="dcterms:W3CDTF">2026-10-10T03:53:00Z</dcterms:created>
  <dcterms:modified xsi:type="dcterms:W3CDTF">2026-10-10T03:53:00Z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