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University of Wellington, New Zealand</w:t>
      </w:r>
    </w:p>
    <w:p>
      <w:pPr>
        <w:pStyle w:val="BodyText"/>
      </w:pPr>
      <w:r>
        <w:rPr>
          <w:bCs/>
          <w:b/>
        </w:rPr>
        <w:t xml:space="preserve">Location:</w:t>
      </w:r>
      <w:r>
        <w:t xml:space="preserve"> </w:t>
      </w:r>
      <w:r>
        <w:t xml:space="preserve">Wellington, New Zealand</w:t>
      </w:r>
    </w:p>
    <w:p>
      <w:pPr>
        <w:pStyle w:val="BodyText"/>
      </w:pPr>
      <w:r>
        <w:rPr>
          <w:bCs/>
          <w:b/>
        </w:rPr>
        <w:t xml:space="preserve">Date of Review:</w:t>
      </w:r>
      <w:r>
        <w:t xml:space="preserve"> </w:t>
      </w:r>
      <w:r>
        <w:t xml:space="preserve">[Insert Date]</w:t>
      </w:r>
    </w:p>
    <w:p>
      <w:pPr>
        <w:pStyle w:val="BodyText"/>
      </w:pPr>
      <w:r>
        <w:rPr>
          <w:bCs/>
          <w:b/>
        </w:rPr>
        <w:t xml:space="preserve">Review Period:</w:t>
      </w:r>
      <w:r>
        <w:t xml:space="preserve"> </w:t>
      </w:r>
      <w:r>
        <w:t xml:space="preserve">[Insert Start Date] to [Insert End Date]</w:t>
      </w:r>
    </w:p>
    <w:bookmarkEnd w:id="20"/>
    <w:bookmarkStart w:id="21" w:name="introduction"/>
    <w:p>
      <w:pPr>
        <w:pStyle w:val="Heading2"/>
      </w:pPr>
      <w:r>
        <w:t xml:space="preserve">1. Introduction</w:t>
      </w:r>
    </w:p>
    <w:p>
      <w:pPr>
        <w:pStyle w:val="FirstParagraph"/>
      </w:pPr>
      <w:r>
        <w:t xml:space="preserve">This Peer Review Report has been prepared in accordance with the academic standards and professional expectations of the University of Wellington, located in Wellington, New Zealand. The purpose of this report is to provide a comprehensive evaluation of the teaching, research, and professional conduct of a University Lecturer within the institution. The review process is designed to support continuous improvement, uphold academic excellence, and ensure alignment with the university’s strategic goals and the broader educational landscape in New Zealand.</w:t>
      </w:r>
    </w:p>
    <w:bookmarkEnd w:id="21"/>
    <w:bookmarkStart w:id="22" w:name="lecturer-information"/>
    <w:p>
      <w:pPr>
        <w:pStyle w:val="Heading2"/>
      </w:pPr>
      <w:r>
        <w:t xml:space="preserve">2. Lecturer Information</w:t>
      </w:r>
    </w:p>
    <w:p>
      <w:pPr>
        <w:pStyle w:val="FirstParagraph"/>
      </w:pPr>
      <w:r>
        <w:rPr>
          <w:bCs/>
          <w:b/>
        </w:rPr>
        <w:t xml:space="preserve">Name:</w:t>
      </w:r>
      <w:r>
        <w:t xml:space="preserve"> </w:t>
      </w:r>
      <w:r>
        <w:t xml:space="preserve">[Insert Lecturer Name]</w:t>
      </w:r>
    </w:p>
    <w:p>
      <w:pPr>
        <w:pStyle w:val="BodyText"/>
      </w:pPr>
      <w:r>
        <w:rPr>
          <w:bCs/>
          <w:b/>
        </w:rPr>
        <w:t xml:space="preserve">Department:</w:t>
      </w:r>
      <w:r>
        <w:t xml:space="preserve"> </w:t>
      </w:r>
      <w:r>
        <w:t xml:space="preserve">[Insert Department]</w:t>
      </w:r>
    </w:p>
    <w:p>
      <w:pPr>
        <w:pStyle w:val="BodyText"/>
      </w:pPr>
      <w:r>
        <w:rPr>
          <w:bCs/>
          <w:b/>
        </w:rPr>
        <w:t xml:space="preserve">Position:</w:t>
      </w:r>
      <w:r>
        <w:t xml:space="preserve"> </w:t>
      </w:r>
      <w:r>
        <w:t xml:space="preserve">University Lecturer</w:t>
      </w:r>
    </w:p>
    <w:p>
      <w:pPr>
        <w:pStyle w:val="BodyText"/>
      </w:pPr>
      <w:r>
        <w:rPr>
          <w:bCs/>
          <w:b/>
        </w:rPr>
        <w:t xml:space="preserve">Primary Responsibilities:</w:t>
      </w:r>
      <w:r>
        <w:t xml:space="preserve"> </w:t>
      </w:r>
      <w:r>
        <w:t xml:space="preserve">Teaching, research, curriculum development, student supervision, and community engagement.</w:t>
      </w:r>
    </w:p>
    <w:bookmarkEnd w:id="22"/>
    <w:bookmarkStart w:id="26" w:name="teaching-effectiveness"/>
    <w:p>
      <w:pPr>
        <w:pStyle w:val="Heading2"/>
      </w:pPr>
      <w:r>
        <w:t xml:space="preserve">3. Teaching Effectiveness</w:t>
      </w:r>
    </w:p>
    <w:bookmarkStart w:id="23" w:name="course-delivery-and-engagement"/>
    <w:p>
      <w:pPr>
        <w:pStyle w:val="Heading3"/>
      </w:pPr>
      <w:r>
        <w:t xml:space="preserve">3.1 Course Delivery and Engagement</w:t>
      </w:r>
    </w:p>
    <w:p>
      <w:pPr>
        <w:pStyle w:val="FirstParagraph"/>
      </w:pPr>
      <w:r>
        <w:t xml:space="preserve">The University Lecturer demonstrates a strong commitment to delivering high-quality instruction across multiple courses. Teaching methods are varied and inclusive, incorporating interactive discussions, case studies, and practical exercises that align with contemporary pedagogical practices in New Zealand higher education. Students report high levels of engagement and satisfaction, particularly noting the lecturer’s ability to connect theoretical concepts with real-world applications relevant to the Wellington and broader New Zealand context.</w:t>
      </w:r>
    </w:p>
    <w:bookmarkEnd w:id="23"/>
    <w:bookmarkStart w:id="24" w:name="assessment-and-feedback"/>
    <w:p>
      <w:pPr>
        <w:pStyle w:val="Heading3"/>
      </w:pPr>
      <w:r>
        <w:t xml:space="preserve">3.2 Assessment and Feedback</w:t>
      </w:r>
    </w:p>
    <w:p>
      <w:pPr>
        <w:pStyle w:val="FirstParagraph"/>
      </w:pPr>
      <w:r>
        <w:t xml:space="preserve">Assessment strategies are well-designed, transparent, and aligned with learning outcomes. The lecturer provides timely and constructive feedback, which supports student learning and development. Feedback mechanisms include written comments, one-on-one consultations, and peer review activities, all of which contribute to a supportive learning environment.</w:t>
      </w:r>
    </w:p>
    <w:bookmarkEnd w:id="24"/>
    <w:bookmarkStart w:id="25" w:name="curriculum-development"/>
    <w:p>
      <w:pPr>
        <w:pStyle w:val="Heading3"/>
      </w:pPr>
      <w:r>
        <w:t xml:space="preserve">3.3 Curriculum Development</w:t>
      </w:r>
    </w:p>
    <w:p>
      <w:pPr>
        <w:pStyle w:val="FirstParagraph"/>
      </w:pPr>
      <w:r>
        <w:t xml:space="preserve">The lecturer has actively contributed to curriculum review and development initiatives, ensuring that course content remains current and responsive to industry needs and academic advancements. Efforts to integrate Māori perspectives and bicultural principles into the curriculum reflect a strong commitment to the cultural values and educational priorities of New Zealand.</w:t>
      </w:r>
    </w:p>
    <w:bookmarkEnd w:id="25"/>
    <w:bookmarkEnd w:id="26"/>
    <w:bookmarkStart w:id="30" w:name="research-and-scholarship"/>
    <w:p>
      <w:pPr>
        <w:pStyle w:val="Heading2"/>
      </w:pPr>
      <w:r>
        <w:t xml:space="preserve">4. Research and Scholarship</w:t>
      </w:r>
    </w:p>
    <w:bookmarkStart w:id="27" w:name="research-output"/>
    <w:p>
      <w:pPr>
        <w:pStyle w:val="Heading3"/>
      </w:pPr>
      <w:r>
        <w:t xml:space="preserve">4.1 Research Output</w:t>
      </w:r>
    </w:p>
    <w:p>
      <w:pPr>
        <w:pStyle w:val="FirstParagraph"/>
      </w:pPr>
      <w:r>
        <w:t xml:space="preserve">The University Lecturer has maintained a consistent record of research output, including peer-reviewed journal articles, conference presentations, and collaborative projects. Research topics are relevant to the discipline and contribute to the academic reputation of the University of Wellington. Several publications have been recognized for their impact within the field.</w:t>
      </w:r>
    </w:p>
    <w:bookmarkEnd w:id="27"/>
    <w:bookmarkStart w:id="28" w:name="research-supervision"/>
    <w:p>
      <w:pPr>
        <w:pStyle w:val="Heading3"/>
      </w:pPr>
      <w:r>
        <w:t xml:space="preserve">4.2 Research Supervision</w:t>
      </w:r>
    </w:p>
    <w:p>
      <w:pPr>
        <w:pStyle w:val="FirstParagraph"/>
      </w:pPr>
      <w:r>
        <w:t xml:space="preserve">The lecturer provides effective supervision to postgraduate students, guiding them through research design, methodology, and publication processes. Supervised students have successfully completed their degrees and published their work, reflecting the lecturer’s strong mentorship capabilities.</w:t>
      </w:r>
    </w:p>
    <w:bookmarkEnd w:id="28"/>
    <w:bookmarkStart w:id="29" w:name="collaboration-and-funding"/>
    <w:p>
      <w:pPr>
        <w:pStyle w:val="Heading3"/>
      </w:pPr>
      <w:r>
        <w:t xml:space="preserve">4.3 Collaboration and Funding</w:t>
      </w:r>
    </w:p>
    <w:p>
      <w:pPr>
        <w:pStyle w:val="FirstParagraph"/>
      </w:pPr>
      <w:r>
        <w:t xml:space="preserve">Active participation in research collaborations with national and international partners has enhanced the visibility and impact of the lecturer’s work. Successful applications for research grants demonstrate the ability to secure external funding and support innovative research projects.</w:t>
      </w:r>
    </w:p>
    <w:bookmarkEnd w:id="29"/>
    <w:bookmarkEnd w:id="30"/>
    <w:bookmarkStart w:id="33" w:name="professional-conduct-and-service"/>
    <w:p>
      <w:pPr>
        <w:pStyle w:val="Heading2"/>
      </w:pPr>
      <w:r>
        <w:t xml:space="preserve">5. Professional Conduct and Service</w:t>
      </w:r>
    </w:p>
    <w:bookmarkStart w:id="31" w:name="professionalism"/>
    <w:p>
      <w:pPr>
        <w:pStyle w:val="Heading3"/>
      </w:pPr>
      <w:r>
        <w:t xml:space="preserve">5.1 Professionalism</w:t>
      </w:r>
    </w:p>
    <w:p>
      <w:pPr>
        <w:pStyle w:val="FirstParagraph"/>
      </w:pPr>
      <w:r>
        <w:t xml:space="preserve">The University Lecturer consistently demonstrates high levels of professionalism, integrity, and respect in all interactions with students, colleagues, and external stakeholders. Commitment to ethical standards and academic honesty is evident in teaching, research, and administrative responsibilities.</w:t>
      </w:r>
    </w:p>
    <w:bookmarkEnd w:id="31"/>
    <w:bookmarkStart w:id="32" w:name="service-to-the-university-and-community"/>
    <w:p>
      <w:pPr>
        <w:pStyle w:val="Heading3"/>
      </w:pPr>
      <w:r>
        <w:t xml:space="preserve">5.2 Service to the University and Community</w:t>
      </w:r>
    </w:p>
    <w:p>
      <w:pPr>
        <w:pStyle w:val="FirstParagraph"/>
      </w:pPr>
      <w:r>
        <w:t xml:space="preserve">The lecturer has contributed significantly to the University of Wellington through participation in committees, academic governance, and community outreach activities. Engagement with local communities in Wellington and across New Zealand reflects a dedication to public scholarship and societal impact.</w:t>
      </w:r>
    </w:p>
    <w:bookmarkEnd w:id="32"/>
    <w:bookmarkEnd w:id="33"/>
    <w:bookmarkStart w:id="34" w:name="strengths"/>
    <w:p>
      <w:pPr>
        <w:pStyle w:val="Heading2"/>
      </w:pPr>
      <w:r>
        <w:t xml:space="preserve">6. Strengths</w:t>
      </w:r>
    </w:p>
    <w:p>
      <w:pPr>
        <w:numPr>
          <w:ilvl w:val="0"/>
          <w:numId w:val="1001"/>
        </w:numPr>
        <w:pStyle w:val="Compact"/>
      </w:pPr>
      <w:r>
        <w:t xml:space="preserve">Excellent teaching skills with a focus on student engagement and inclusive practices.</w:t>
      </w:r>
    </w:p>
    <w:p>
      <w:pPr>
        <w:numPr>
          <w:ilvl w:val="0"/>
          <w:numId w:val="1001"/>
        </w:numPr>
        <w:pStyle w:val="Compact"/>
      </w:pPr>
      <w:r>
        <w:t xml:space="preserve">Strong research profile with impactful publications and successful grant applications.</w:t>
      </w:r>
    </w:p>
    <w:p>
      <w:pPr>
        <w:numPr>
          <w:ilvl w:val="0"/>
          <w:numId w:val="1001"/>
        </w:numPr>
        <w:pStyle w:val="Compact"/>
      </w:pPr>
      <w:r>
        <w:t xml:space="preserve">Effective mentorship and supervision of postgraduate students.</w:t>
      </w:r>
    </w:p>
    <w:p>
      <w:pPr>
        <w:numPr>
          <w:ilvl w:val="0"/>
          <w:numId w:val="1001"/>
        </w:numPr>
        <w:pStyle w:val="Compact"/>
      </w:pPr>
      <w:r>
        <w:t xml:space="preserve">Active contribution to curriculum development and integration of bicultural perspectives.</w:t>
      </w:r>
    </w:p>
    <w:p>
      <w:pPr>
        <w:numPr>
          <w:ilvl w:val="0"/>
          <w:numId w:val="1001"/>
        </w:numPr>
        <w:pStyle w:val="Compact"/>
      </w:pPr>
      <w:r>
        <w:t xml:space="preserve">High level of professionalism and commitment to university service.</w:t>
      </w:r>
    </w:p>
    <w:bookmarkEnd w:id="34"/>
    <w:bookmarkStart w:id="35" w:name="areas-for-improvement"/>
    <w:p>
      <w:pPr>
        <w:pStyle w:val="Heading2"/>
      </w:pPr>
      <w:r>
        <w:t xml:space="preserve">7. Areas for Improvement</w:t>
      </w:r>
    </w:p>
    <w:p>
      <w:pPr>
        <w:numPr>
          <w:ilvl w:val="0"/>
          <w:numId w:val="1002"/>
        </w:numPr>
        <w:pStyle w:val="Compact"/>
      </w:pPr>
      <w:r>
        <w:t xml:space="preserve">Further development of digital teaching tools to enhance online learning experiences.</w:t>
      </w:r>
    </w:p>
    <w:p>
      <w:pPr>
        <w:numPr>
          <w:ilvl w:val="0"/>
          <w:numId w:val="1002"/>
        </w:numPr>
        <w:pStyle w:val="Compact"/>
      </w:pPr>
      <w:r>
        <w:t xml:space="preserve">Increased involvement in interdisciplinary research collaborations.</w:t>
      </w:r>
    </w:p>
    <w:p>
      <w:pPr>
        <w:numPr>
          <w:ilvl w:val="0"/>
          <w:numId w:val="1002"/>
        </w:numPr>
        <w:pStyle w:val="Compact"/>
      </w:pPr>
      <w:r>
        <w:t xml:space="preserve">Opportunities to expand community engagement initiatives beyond Wellington.</w:t>
      </w:r>
    </w:p>
    <w:bookmarkEnd w:id="35"/>
    <w:bookmarkStart w:id="36" w:name="recommendations"/>
    <w:p>
      <w:pPr>
        <w:pStyle w:val="Heading2"/>
      </w:pPr>
      <w:r>
        <w:t xml:space="preserve">8. Recommendations</w:t>
      </w:r>
    </w:p>
    <w:p>
      <w:pPr>
        <w:pStyle w:val="FirstParagraph"/>
      </w:pPr>
      <w:r>
        <w:t xml:space="preserve">Based on the findings of this Peer Review Report, it is recommended that the University Lecturer continue to build on their strengths in teaching, research, and service. Targeted professional development in digital pedagogy and interdisciplinary research methods is encouraged. The lecturer is also encouraged to seek further opportunities for community engagement and leadership within the University of Wellington and the wider New Zealand academic community.</w:t>
      </w:r>
    </w:p>
    <w:bookmarkEnd w:id="36"/>
    <w:bookmarkStart w:id="37" w:name="conclusion"/>
    <w:p>
      <w:pPr>
        <w:pStyle w:val="Heading2"/>
      </w:pPr>
      <w:r>
        <w:t xml:space="preserve">9. Conclusion</w:t>
      </w:r>
    </w:p>
    <w:p>
      <w:pPr>
        <w:pStyle w:val="FirstParagraph"/>
      </w:pPr>
      <w:r>
        <w:t xml:space="preserve">This Peer Review Report affirms the University Lecturer’s significant contributions to the University of Wellington and their alignment with the academic and professional standards expected in New Zealand higher education. The lecturer’s dedication to teaching excellence, research innovation, and community service positions them as a valuable asset to the institution. Continued support and development will further enhance their impact and effectiveness in their role.</w:t>
      </w:r>
    </w:p>
    <w:bookmarkEnd w:id="37"/>
    <w:p>
      <w:pPr>
        <w:pStyle w:val="BodyText"/>
      </w:pPr>
      <w:r>
        <w:rPr>
          <w:bCs/>
          <w:b/>
        </w:rPr>
        <w:t xml:space="preserve">Prepared by:</w:t>
      </w:r>
      <w:r>
        <w:t xml:space="preserve"> </w:t>
      </w:r>
      <w:r>
        <w:t xml:space="preserve">[Insert Reviewer Name]</w:t>
      </w:r>
    </w:p>
    <w:p>
      <w:pPr>
        <w:pStyle w:val="BodyText"/>
      </w:pPr>
      <w:r>
        <w:rPr>
          <w:bCs/>
          <w:b/>
        </w:rPr>
        <w:t xml:space="preserve">Position:</w:t>
      </w:r>
      <w:r>
        <w:t xml:space="preserve"> </w:t>
      </w:r>
      <w:r>
        <w:t xml:space="preserve">[Insert Reviewer Position]</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Wellington, New Zealand</dc:title>
  <dc:creator/>
  <dc:language>en</dc:language>
  <cp:keywords/>
  <dcterms:created xsi:type="dcterms:W3CDTF">2026-10-10T02:46:22Z</dcterms:created>
  <dcterms:modified xsi:type="dcterms:W3CDTF">2026-10-10T02:46:22Z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