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University</w:t>
      </w:r>
      <w:r>
        <w:t xml:space="preserve"> </w:t>
      </w:r>
      <w:r>
        <w:t xml:space="preserve">Lecturer</w:t>
      </w:r>
    </w:p>
    <w:bookmarkStart w:id="20" w:name="peer-review-report"/>
    <w:p>
      <w:pPr>
        <w:pStyle w:val="Heading1"/>
      </w:pPr>
      <w:r>
        <w:t xml:space="preserve">Peer Review Report</w:t>
      </w:r>
    </w:p>
    <w:p>
      <w:pPr>
        <w:pStyle w:val="FirstParagraph"/>
      </w:pPr>
      <w:r>
        <w:t xml:space="preserve">Academic Staff Development &amp; Evaluation Framework</w:t>
      </w:r>
    </w:p>
    <w:bookmarkEnd w:id="20"/>
    <w:p>
      <w:pPr>
        <w:pStyle w:val="BodyText"/>
      </w:pPr>
      <w:r>
        <w:rPr>
          <w:bCs/>
          <w:b/>
        </w:rPr>
        <w:t xml:space="preserve">Date of Review:</w:t>
      </w:r>
      <w:r>
        <w:t xml:space="preserve"> </w:t>
      </w:r>
      <w:r>
        <w:t xml:space="preserve">October 24, 2023</w:t>
      </w:r>
    </w:p>
    <w:p>
      <w:pPr>
        <w:pStyle w:val="BodyText"/>
      </w:pPr>
      <w:r>
        <w:rPr>
          <w:bCs/>
          <w:b/>
        </w:rPr>
        <w:t xml:space="preserve">Review Cycle:</w:t>
      </w:r>
      <w:r>
        <w:t xml:space="preserve"> </w:t>
      </w:r>
      <w:r>
        <w:t xml:space="preserve">Annual Academic Review</w:t>
      </w:r>
    </w:p>
    <w:p>
      <w:pPr>
        <w:pStyle w:val="BodyText"/>
      </w:pPr>
      <w:r>
        <w:rPr>
          <w:bCs/>
          <w:b/>
        </w:rPr>
        <w:t xml:space="preserve">Lecturer Name:</w:t>
      </w:r>
      <w:r>
        <w:t xml:space="preserve"> </w:t>
      </w:r>
      <w:r>
        <w:t xml:space="preserve">Dr. A. Perera</w:t>
      </w:r>
    </w:p>
    <w:p>
      <w:pPr>
        <w:pStyle w:val="BodyText"/>
      </w:pPr>
      <w:r>
        <w:rPr>
          <w:bCs/>
          <w:b/>
        </w:rPr>
        <w:t xml:space="preserve">Department:</w:t>
      </w:r>
      <w:r>
        <w:t xml:space="preserve"> </w:t>
      </w:r>
      <w:r>
        <w:t xml:space="preserve">Department of Computer Science</w:t>
      </w:r>
    </w:p>
    <w:p>
      <w:pPr>
        <w:pStyle w:val="BodyText"/>
      </w:pPr>
      <w:r>
        <w:rPr>
          <w:bCs/>
          <w:b/>
        </w:rPr>
        <w:t xml:space="preserve">Institution:</w:t>
      </w:r>
      <w:r>
        <w:t xml:space="preserve"> </w:t>
      </w:r>
      <w:r>
        <w:t xml:space="preserve">University of Colombo, Sri Lanka</w:t>
      </w:r>
    </w:p>
    <w:p>
      <w:pPr>
        <w:pStyle w:val="BodyText"/>
      </w:pPr>
      <w:r>
        <w:rPr>
          <w:bCs/>
          <w:b/>
        </w:rPr>
        <w:t xml:space="preserve">Reviewer Name:</w:t>
      </w:r>
      <w:r>
        <w:t xml:space="preserve"> </w:t>
      </w:r>
      <w:r>
        <w:t xml:space="preserve">Prof. S. Fernando</w:t>
      </w:r>
    </w:p>
    <w:bookmarkStart w:id="21"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has been prepared in accordance with the academic standards and regulatory requirements of the University Grants Commission (UGC) of</w:t>
      </w:r>
      <w:r>
        <w:t xml:space="preserve"> </w:t>
      </w:r>
      <w:r>
        <w:rPr>
          <w:bCs/>
          <w:b/>
        </w:rPr>
        <w:t xml:space="preserve">Sri Lanka</w:t>
      </w:r>
      <w:r>
        <w:t xml:space="preserve">. The primary objective of this evaluation is to assess the professional performance, academic contributions, and pedagogical effectiveness of the</w:t>
      </w:r>
      <w:r>
        <w:t xml:space="preserve"> </w:t>
      </w:r>
      <w:r>
        <w:rPr>
          <w:bCs/>
          <w:b/>
        </w:rPr>
        <w:t xml:space="preserve">University Lecturer</w:t>
      </w:r>
      <w:r>
        <w:t xml:space="preserve"> </w:t>
      </w:r>
      <w:r>
        <w:t xml:space="preserve">under review.</w:t>
      </w:r>
    </w:p>
    <w:p>
      <w:pPr>
        <w:pStyle w:val="BodyText"/>
      </w:pPr>
      <w:r>
        <w:t xml:space="preserve">The review process was conducted within the vibrant academic environment of</w:t>
      </w:r>
      <w:r>
        <w:t xml:space="preserve"> </w:t>
      </w:r>
      <w:r>
        <w:rPr>
          <w:bCs/>
          <w:b/>
        </w:rPr>
        <w:t xml:space="preserve">Colombo</w:t>
      </w:r>
      <w:r>
        <w:t xml:space="preserve">, taking into consideration the specific challenges and opportunities present in the local higher education sector. The assessment covers the academic year 2022-2023 and focuses on three core pillars: Teaching and Learning, Research and Scholarship, and Service to the University and Community. This document serves as a formal record of the peer observation and provides constructive feedback aimed at fostering continuous professional development.</w:t>
      </w:r>
    </w:p>
    <w:bookmarkEnd w:id="21"/>
    <w:bookmarkStart w:id="22" w:name="teaching-and-learning-effectiveness"/>
    <w:p>
      <w:pPr>
        <w:pStyle w:val="Heading2"/>
      </w:pPr>
      <w:r>
        <w:t xml:space="preserve">2. Teaching and Learning Effectiveness</w:t>
      </w:r>
    </w:p>
    <w:p>
      <w:pPr>
        <w:pStyle w:val="FirstParagraph"/>
      </w:pPr>
      <w:r>
        <w:t xml:space="preserve">The</w:t>
      </w:r>
      <w:r>
        <w:t xml:space="preserve"> </w:t>
      </w:r>
      <w:r>
        <w:rPr>
          <w:bCs/>
          <w:b/>
        </w:rPr>
        <w:t xml:space="preserve">University Lecturer</w:t>
      </w:r>
      <w:r>
        <w:t xml:space="preserve"> </w:t>
      </w:r>
      <w:r>
        <w:t xml:space="preserve">demonstrates a commendable commitment to student-centered learning, a critical requirement for modern institutions in</w:t>
      </w:r>
      <w:r>
        <w:t xml:space="preserve"> </w:t>
      </w:r>
      <w:r>
        <w:rPr>
          <w:bCs/>
          <w:b/>
        </w:rPr>
        <w:t xml:space="preserve">Sri Lanka</w:t>
      </w:r>
      <w:r>
        <w:t xml:space="preserve">. During the classroom observations conducted in the Faculty of Science, the lecturer exhibited a deep mastery of the subject matter. The delivery of complex concepts was clear, structured, and accessible to students of varying academic backgrounds.</w:t>
      </w:r>
    </w:p>
    <w:p>
      <w:pPr>
        <w:pStyle w:val="BodyText"/>
      </w:pPr>
      <w:r>
        <w:rPr>
          <w:bCs/>
          <w:b/>
        </w:rPr>
        <w:t xml:space="preserve">Classroom Management and Engagement:</w:t>
      </w:r>
      <w:r>
        <w:t xml:space="preserve"> </w:t>
      </w:r>
      <w:r>
        <w:t xml:space="preserve">The lecturer effectively manages the classroom dynamics, fostering an inclusive environment where students feel comfortable participating. The use of interactive teaching methods, such as group discussions and problem-solving sessions, aligns well with the pedagogical shifts encouraged by the UGC. The lecturer successfully integrates local case studies relevant to the</w:t>
      </w:r>
      <w:r>
        <w:t xml:space="preserve"> </w:t>
      </w:r>
      <w:r>
        <w:rPr>
          <w:bCs/>
          <w:b/>
        </w:rPr>
        <w:t xml:space="preserve">Colombo</w:t>
      </w:r>
      <w:r>
        <w:t xml:space="preserve"> </w:t>
      </w:r>
      <w:r>
        <w:t xml:space="preserve">context, making the curriculum more relatable and practical for the students.</w:t>
      </w:r>
    </w:p>
    <w:p>
      <w:pPr>
        <w:pStyle w:val="BodyText"/>
      </w:pPr>
      <w:r>
        <w:rPr>
          <w:bCs/>
          <w:b/>
        </w:rPr>
        <w:t xml:space="preserve">Assessment and Feedback:</w:t>
      </w:r>
      <w:r>
        <w:t xml:space="preserve"> </w:t>
      </w:r>
      <w:r>
        <w:t xml:space="preserve">The assessment strategies employed are robust and fair. The lecturer provides timely and constructive feedback on student assignments, which is essential for academic growth. The alignment between learning outcomes and assessment tasks is evident, ensuring that the evaluation process accurately measures student achievement.</w:t>
      </w:r>
    </w:p>
    <w:bookmarkEnd w:id="22"/>
    <w:bookmarkStart w:id="23" w:name="research-and-scholarship"/>
    <w:p>
      <w:pPr>
        <w:pStyle w:val="Heading2"/>
      </w:pPr>
      <w:r>
        <w:t xml:space="preserve">3. Research and Scholarship</w:t>
      </w:r>
    </w:p>
    <w:p>
      <w:pPr>
        <w:pStyle w:val="FirstParagraph"/>
      </w:pPr>
      <w:r>
        <w:t xml:space="preserve">Research productivity is a vital component of the role of a</w:t>
      </w:r>
      <w:r>
        <w:t xml:space="preserve"> </w:t>
      </w:r>
      <w:r>
        <w:rPr>
          <w:bCs/>
          <w:b/>
        </w:rPr>
        <w:t xml:space="preserve">University Lecturer</w:t>
      </w:r>
      <w:r>
        <w:t xml:space="preserve"> </w:t>
      </w:r>
      <w:r>
        <w:t xml:space="preserve">in</w:t>
      </w:r>
      <w:r>
        <w:t xml:space="preserve"> </w:t>
      </w:r>
      <w:r>
        <w:rPr>
          <w:bCs/>
          <w:b/>
        </w:rPr>
        <w:t xml:space="preserve">Sri Lanka</w:t>
      </w:r>
      <w:r>
        <w:t xml:space="preserve">. The review indicates that the lecturer has maintained a consistent research output during the review period. The lecturer has published several papers in reputable international journals, contributing to the global knowledge base while addressing issues pertinent to the region.</w:t>
      </w:r>
    </w:p>
    <w:p>
      <w:pPr>
        <w:pStyle w:val="BodyText"/>
      </w:pPr>
      <w:r>
        <w:rPr>
          <w:bCs/>
          <w:b/>
        </w:rPr>
        <w:t xml:space="preserve">Publications and Grants:</w:t>
      </w:r>
      <w:r>
        <w:t xml:space="preserve"> </w:t>
      </w:r>
      <w:r>
        <w:t xml:space="preserve">The lecturer has successfully secured research funding from national bodies, demonstrating the ability to compete for resources in a competitive academic landscape. The research topics explored are innovative and show a clear trajectory of scholarly development. Furthermore, the lecturer actively participates in international conferences, representing the university and</w:t>
      </w:r>
      <w:r>
        <w:t xml:space="preserve"> </w:t>
      </w:r>
      <w:r>
        <w:rPr>
          <w:bCs/>
          <w:b/>
        </w:rPr>
        <w:t xml:space="preserve">Colombo</w:t>
      </w:r>
      <w:r>
        <w:t xml:space="preserve"> </w:t>
      </w:r>
      <w:r>
        <w:t xml:space="preserve">on the global stage.</w:t>
      </w:r>
    </w:p>
    <w:p>
      <w:pPr>
        <w:pStyle w:val="BodyText"/>
      </w:pPr>
      <w:r>
        <w:rPr>
          <w:bCs/>
          <w:b/>
        </w:rPr>
        <w:t xml:space="preserve">Supervision:</w:t>
      </w:r>
      <w:r>
        <w:t xml:space="preserve"> </w:t>
      </w:r>
      <w:r>
        <w:t xml:space="preserve">The lecturer plays a pivotal role in supervising postgraduate students. The mentorship provided is supportive and rigorous, guiding students through the complexities of academic research. This contribution is vital for sustaining the research culture within the university.</w:t>
      </w:r>
    </w:p>
    <w:bookmarkEnd w:id="23"/>
    <w:bookmarkStart w:id="24" w:name="service-to-the-university-and-community"/>
    <w:p>
      <w:pPr>
        <w:pStyle w:val="Heading2"/>
      </w:pPr>
      <w:r>
        <w:t xml:space="preserve">4. Service to the University and Community</w:t>
      </w:r>
    </w:p>
    <w:p>
      <w:pPr>
        <w:pStyle w:val="FirstParagraph"/>
      </w:pPr>
      <w:r>
        <w:t xml:space="preserve">Beyond teaching and research, the</w:t>
      </w:r>
      <w:r>
        <w:t xml:space="preserve"> </w:t>
      </w:r>
      <w:r>
        <w:rPr>
          <w:bCs/>
          <w:b/>
        </w:rPr>
        <w:t xml:space="preserve">University Lecturer</w:t>
      </w:r>
      <w:r>
        <w:t xml:space="preserve"> </w:t>
      </w:r>
      <w:r>
        <w:t xml:space="preserve">has shown significant dedication to service activities. This includes active participation in departmental committees and administrative tasks that support the smooth functioning of the faculty.</w:t>
      </w:r>
    </w:p>
    <w:p>
      <w:pPr>
        <w:pStyle w:val="BodyText"/>
      </w:pPr>
      <w:r>
        <w:rPr>
          <w:bCs/>
          <w:b/>
        </w:rPr>
        <w:t xml:space="preserve">Community Engagement:</w:t>
      </w:r>
      <w:r>
        <w:t xml:space="preserve"> </w:t>
      </w:r>
      <w:r>
        <w:t xml:space="preserve">In line with the social responsibility of universities in</w:t>
      </w:r>
      <w:r>
        <w:t xml:space="preserve"> </w:t>
      </w:r>
      <w:r>
        <w:rPr>
          <w:bCs/>
          <w:b/>
        </w:rPr>
        <w:t xml:space="preserve">Sri Lanka</w:t>
      </w:r>
      <w:r>
        <w:t xml:space="preserve">, the lecturer has engaged in outreach programs. These activities include organizing workshops for local schools in the</w:t>
      </w:r>
      <w:r>
        <w:t xml:space="preserve"> </w:t>
      </w:r>
      <w:r>
        <w:rPr>
          <w:bCs/>
          <w:b/>
        </w:rPr>
        <w:t xml:space="preserve">Colombo</w:t>
      </w:r>
      <w:r>
        <w:t xml:space="preserve"> </w:t>
      </w:r>
      <w:r>
        <w:t xml:space="preserve">district and providing consultancy services to local industries. Such engagement bridges the gap between academia and society, enhancing the university's reputation and impact.</w:t>
      </w:r>
    </w:p>
    <w:bookmarkEnd w:id="24"/>
    <w:bookmarkStart w:id="25" w:name="Xda79409093af40bd3d15ed7d2a5582dbca223f1"/>
    <w:p>
      <w:pPr>
        <w:pStyle w:val="Heading2"/>
      </w:pPr>
      <w:r>
        <w:t xml:space="preserve">5. Areas for Improvement and Recommendations</w:t>
      </w:r>
    </w:p>
    <w:p>
      <w:pPr>
        <w:pStyle w:val="FirstParagraph"/>
      </w:pPr>
      <w:r>
        <w:t xml:space="preserve">While the performance of the</w:t>
      </w:r>
      <w:r>
        <w:t xml:space="preserve"> </w:t>
      </w:r>
      <w:r>
        <w:rPr>
          <w:bCs/>
          <w:b/>
        </w:rPr>
        <w:t xml:space="preserve">University Lecturer</w:t>
      </w:r>
      <w:r>
        <w:t xml:space="preserve"> </w:t>
      </w:r>
      <w:r>
        <w:t xml:space="preserve">is largely exemplary, this</w:t>
      </w:r>
      <w:r>
        <w:t xml:space="preserve"> </w:t>
      </w:r>
      <w:r>
        <w:rPr>
          <w:bCs/>
          <w:b/>
        </w:rPr>
        <w:t xml:space="preserve">Peer Review Report</w:t>
      </w:r>
      <w:r>
        <w:t xml:space="preserve"> </w:t>
      </w:r>
      <w:r>
        <w:t xml:space="preserve">identifies a few areas for potential enhancement:</w:t>
      </w:r>
    </w:p>
    <w:p>
      <w:pPr>
        <w:numPr>
          <w:ilvl w:val="0"/>
          <w:numId w:val="1001"/>
        </w:numPr>
        <w:pStyle w:val="Compact"/>
      </w:pPr>
      <w:r>
        <w:rPr>
          <w:bCs/>
          <w:b/>
        </w:rPr>
        <w:t xml:space="preserve">Digital Integration:</w:t>
      </w:r>
      <w:r>
        <w:t xml:space="preserve"> </w:t>
      </w:r>
      <w:r>
        <w:t xml:space="preserve">While traditional teaching methods are strong, there is an opportunity to further integrate digital learning tools and online resources to cater to the tech-savvy student population in</w:t>
      </w:r>
      <w:r>
        <w:t xml:space="preserve"> </w:t>
      </w:r>
      <w:r>
        <w:rPr>
          <w:bCs/>
          <w:b/>
        </w:rPr>
        <w:t xml:space="preserve">Colombo</w:t>
      </w:r>
      <w:r>
        <w:t xml:space="preserve">.</w:t>
      </w:r>
    </w:p>
    <w:p>
      <w:pPr>
        <w:numPr>
          <w:ilvl w:val="0"/>
          <w:numId w:val="1001"/>
        </w:numPr>
        <w:pStyle w:val="Compact"/>
      </w:pPr>
      <w:r>
        <w:rPr>
          <w:bCs/>
          <w:b/>
        </w:rPr>
        <w:t xml:space="preserve">Collaborative Research:</w:t>
      </w:r>
      <w:r>
        <w:t xml:space="preserve"> </w:t>
      </w:r>
      <w:r>
        <w:t xml:space="preserve">The lecturer is encouraged to seek more interdisciplinary collaborations with other departments within the university and with international partners to broaden the scope of research impact.</w:t>
      </w:r>
    </w:p>
    <w:p>
      <w:pPr>
        <w:numPr>
          <w:ilvl w:val="0"/>
          <w:numId w:val="1001"/>
        </w:numPr>
        <w:pStyle w:val="Compact"/>
      </w:pPr>
      <w:r>
        <w:rPr>
          <w:bCs/>
          <w:b/>
        </w:rPr>
        <w:t xml:space="preserve">Professional Development:</w:t>
      </w:r>
      <w:r>
        <w:t xml:space="preserve"> </w:t>
      </w:r>
      <w:r>
        <w:t xml:space="preserve">Participation in advanced pedagogical training workshops could further refine teaching strategies and keep the lecturer updated with the latest educational trends.</w:t>
      </w:r>
    </w:p>
    <w:bookmarkEnd w:id="25"/>
    <w:bookmarkStart w:id="26" w:name="overall-conclusion"/>
    <w:p>
      <w:pPr>
        <w:pStyle w:val="Heading2"/>
      </w:pPr>
      <w:r>
        <w:t xml:space="preserve">6. Overall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University Lecturer</w:t>
      </w:r>
      <w:r>
        <w:t xml:space="preserve"> </w:t>
      </w:r>
      <w:r>
        <w:t xml:space="preserve">is a valuable asset to the academic community in</w:t>
      </w:r>
      <w:r>
        <w:t xml:space="preserve"> </w:t>
      </w:r>
      <w:r>
        <w:rPr>
          <w:bCs/>
          <w:b/>
        </w:rPr>
        <w:t xml:space="preserve">Sri Lanka</w:t>
      </w:r>
      <w:r>
        <w:t xml:space="preserve">. The lecturer demonstrates high standards of professionalism, academic excellence, and dedication to student success. The contributions made in teaching, research, and service are significant and align with the strategic goals of the university.</w:t>
      </w:r>
    </w:p>
    <w:p>
      <w:pPr>
        <w:pStyle w:val="BodyText"/>
      </w:pPr>
      <w:r>
        <w:t xml:space="preserve">The review recommends the continuation of the lecturer's appointment with a strong endorsement for future career progression. It is expected that the lecturer will address the recommendations provided in this report to further enhance their professional practice. This evaluation underscores the commitment of the university to maintaining high academic standards and fostering a culture of continuous improvement in</w:t>
      </w:r>
      <w:r>
        <w:t xml:space="preserve"> </w:t>
      </w:r>
      <w:r>
        <w:rPr>
          <w:bCs/>
          <w:b/>
        </w:rPr>
        <w:t xml:space="preserve">Colombo</w:t>
      </w:r>
      <w:r>
        <w:t xml:space="preserve">.</w:t>
      </w:r>
    </w:p>
    <w:p>
      <w:pPr>
        <w:pStyle w:val="BodyText"/>
      </w:pPr>
      <w:r>
        <w:rPr>
          <w:bCs/>
          <w:b/>
        </w:rPr>
        <w:t xml:space="preserve">Reviewer Signature:</w:t>
      </w:r>
    </w:p>
    <w:p>
      <w:pPr>
        <w:pStyle w:val="BodyText"/>
      </w:pPr>
      <w:r>
        <w:t xml:space="preserve">Prof. S. Fernando</w:t>
      </w:r>
    </w:p>
    <w:p>
      <w:pPr>
        <w:pStyle w:val="BodyText"/>
      </w:pPr>
      <w:r>
        <w:rPr>
          <w:bCs/>
          <w:b/>
        </w:rPr>
        <w:t xml:space="preserve">Lecturer Acknowledgement:</w:t>
      </w:r>
    </w:p>
    <w:p>
      <w:pPr>
        <w:pStyle w:val="BodyText"/>
      </w:pPr>
      <w:r>
        <w:t xml:space="preserve">Dr. A. Perera</w:t>
      </w:r>
    </w:p>
    <w:p>
      <w:pPr>
        <w:pStyle w:val="BodyText"/>
      </w:pPr>
      <w:r>
        <w:t xml:space="preserve">Confidential Document - For Internal University Use Only | University of Colombo, Sri Lanka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University Lecturer</dc:title>
  <dc:creator/>
  <dc:language>en</dc:language>
  <cp:keywords/>
  <dcterms:created xsi:type="dcterms:W3CDTF">2026-10-10T03:54:39Z</dcterms:created>
  <dcterms:modified xsi:type="dcterms:W3CDTF">2026-10-10T03:54:39Z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