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University Lecturer</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professional expectations of higher education institutions in the United Kingdom, specifically within the context of Birmingham. The purpose of this report is to evaluate the performance, contributions, and professional conduct of a University Lecturer across key areas including teaching, research, scholarship, and service. The review process adheres to the principles of fairness, transparency, and constructive feedback, ensuring alignment with the values of academic excellence and continuous improvement.</w:t>
      </w:r>
    </w:p>
    <w:bookmarkEnd w:id="21"/>
    <w:bookmarkStart w:id="22" w:name="teaching-and-learning"/>
    <w:p>
      <w:pPr>
        <w:pStyle w:val="Heading2"/>
      </w:pPr>
      <w:r>
        <w:t xml:space="preserve">2. Teaching and Learning</w:t>
      </w:r>
    </w:p>
    <w:p>
      <w:pPr>
        <w:pStyle w:val="FirstParagraph"/>
      </w:pPr>
      <w:r>
        <w:t xml:space="preserve">The University Lecturer demonstrates a strong commitment to delivering high-quality teaching and learning experiences. Their approach is student-centred, inclusive, and aligned with the pedagogical standards expected in UK higher education. In Birmingham, where universities serve diverse student populations, the lecturer has shown particular skill in adapting teaching methods to meet the needs of students from varied cultural and academic backgrounds.</w:t>
      </w:r>
    </w:p>
    <w:p>
      <w:pPr>
        <w:pStyle w:val="BodyText"/>
      </w:pPr>
      <w:r>
        <w:t xml:space="preserve">Feedback from students indicates that the lecturer is approachable, knowledgeable, and effective in facilitating learning. They employ a range of teaching strategies, including lectures, seminars, group work, and digital learning tools, to engage students and promote critical thinking. The lecturer also integrates real-world examples and case studies relevant to Birmingham and the wider UK context, enhancing the relevance and applicability of the curriculum.</w:t>
      </w:r>
    </w:p>
    <w:p>
      <w:pPr>
        <w:pStyle w:val="BodyText"/>
      </w:pPr>
      <w:r>
        <w:t xml:space="preserve">Assessment practices are fair, transparent, and aligned with learning outcomes. The lecturer provides timely and constructive feedback, supporting student development and academic progress. They actively participate in curriculum development and review, ensuring that programmes remain current and responsive to disciplinary and societal changes.</w:t>
      </w:r>
    </w:p>
    <w:bookmarkEnd w:id="22"/>
    <w:bookmarkStart w:id="23" w:name="research-and-scholarship"/>
    <w:p>
      <w:pPr>
        <w:pStyle w:val="Heading2"/>
      </w:pPr>
      <w:r>
        <w:t xml:space="preserve">3. Research and Scholarship</w:t>
      </w:r>
    </w:p>
    <w:p>
      <w:pPr>
        <w:pStyle w:val="FirstParagraph"/>
      </w:pPr>
      <w:r>
        <w:t xml:space="preserve">The University Lecturer maintains an active and productive research profile, contributing to the scholarly reputation of the institution. Their research is rigorous, innovative, and relevant to both academic and professional communities. In Birmingham, a city with a strong research infrastructure and collaborative networks, the lecturer has engaged with local and national research initiatives, enhancing the visibility and impact of their work.</w:t>
      </w:r>
    </w:p>
    <w:p>
      <w:pPr>
        <w:pStyle w:val="BodyText"/>
      </w:pPr>
      <w:r>
        <w:t xml:space="preserve">The lecturer has published in reputable peer-reviewed journals and presented at national and international conferences. Their research outputs demonstrate a clear trajectory of development and influence within their field. They also contribute to the research culture of the department by supervising postgraduate students, mentoring early-career researchers, and participating in research seminars and workshops.</w:t>
      </w:r>
    </w:p>
    <w:p>
      <w:pPr>
        <w:pStyle w:val="BodyText"/>
      </w:pPr>
      <w:r>
        <w:t xml:space="preserve">The lecturer’s scholarship extends beyond traditional research to include knowledge exchange and public engagement. They have collaborated with industry partners, community organisations, and policy makers in Birmingham and the wider UK, translating academic insights into practical solutions and societal benefits.</w:t>
      </w:r>
    </w:p>
    <w:bookmarkEnd w:id="23"/>
    <w:bookmarkStart w:id="24" w:name="professional-conduct-and-service"/>
    <w:p>
      <w:pPr>
        <w:pStyle w:val="Heading2"/>
      </w:pPr>
      <w:r>
        <w:t xml:space="preserve">4. Professional Conduct and Service</w:t>
      </w:r>
    </w:p>
    <w:p>
      <w:pPr>
        <w:pStyle w:val="FirstParagraph"/>
      </w:pPr>
      <w:r>
        <w:t xml:space="preserve">The University Lecturer exhibits a high standard of professional conduct, integrity, and collegiality. They are an active and constructive member of the academic community, contributing to departmental and institutional governance, committees, and initiatives. In Birmingham, where universities play a significant role in civic and regional development, the lecturer has engaged with external stakeholders and contributed to the university’s public mission.</w:t>
      </w:r>
    </w:p>
    <w:p>
      <w:pPr>
        <w:pStyle w:val="BodyText"/>
      </w:pPr>
      <w:r>
        <w:t xml:space="preserve">The lecturer demonstrates a commitment to equality, diversity, and inclusion, promoting a respectful and supportive environment for students and colleagues. They participate in professional development activities, staying informed about best practices in teaching, research, and academic leadership. Their contributions to peer review, editorial work, and professional associations further enhance their standing within the academic community.</w:t>
      </w:r>
    </w:p>
    <w:bookmarkEnd w:id="24"/>
    <w:bookmarkStart w:id="25" w:name="areas-for-development"/>
    <w:p>
      <w:pPr>
        <w:pStyle w:val="Heading2"/>
      </w:pPr>
      <w:r>
        <w:t xml:space="preserve">5. Areas for Development</w:t>
      </w:r>
    </w:p>
    <w:p>
      <w:pPr>
        <w:pStyle w:val="FirstParagraph"/>
      </w:pPr>
      <w:r>
        <w:t xml:space="preserve">While the University Lecturer performs at a high level across all key areas, there are opportunities for further development. These include:</w:t>
      </w:r>
    </w:p>
    <w:p>
      <w:pPr>
        <w:numPr>
          <w:ilvl w:val="0"/>
          <w:numId w:val="1001"/>
        </w:numPr>
        <w:pStyle w:val="Compact"/>
      </w:pPr>
      <w:r>
        <w:t xml:space="preserve">Expanding leadership roles in curriculum innovation and digital learning.</w:t>
      </w:r>
    </w:p>
    <w:p>
      <w:pPr>
        <w:numPr>
          <w:ilvl w:val="0"/>
          <w:numId w:val="1001"/>
        </w:numPr>
        <w:pStyle w:val="Compact"/>
      </w:pPr>
      <w:r>
        <w:t xml:space="preserve">Increasing involvement in large-scale, interdisciplinary research projects.</w:t>
      </w:r>
    </w:p>
    <w:p>
      <w:pPr>
        <w:numPr>
          <w:ilvl w:val="0"/>
          <w:numId w:val="1001"/>
        </w:numPr>
        <w:pStyle w:val="Compact"/>
      </w:pPr>
      <w:r>
        <w:t xml:space="preserve">Enhancing visibility in national and international academic networks.</w:t>
      </w:r>
    </w:p>
    <w:p>
      <w:pPr>
        <w:numPr>
          <w:ilvl w:val="0"/>
          <w:numId w:val="1001"/>
        </w:numPr>
        <w:pStyle w:val="Compact"/>
      </w:pPr>
      <w:r>
        <w:t xml:space="preserve">Strengthening contributions to institutional strategy and policy development.</w:t>
      </w:r>
    </w:p>
    <w:p>
      <w:pPr>
        <w:pStyle w:val="FirstParagraph"/>
      </w:pPr>
      <w:r>
        <w:t xml:space="preserve">These areas are identified as constructive recommendations to support the lecturer’s ongoing professional growth and alignment with the strategic priorities of the university and the wider UK higher education sector.</w:t>
      </w:r>
    </w:p>
    <w:bookmarkEnd w:id="25"/>
    <w:bookmarkStart w:id="26" w:name="conclusion"/>
    <w:p>
      <w:pPr>
        <w:pStyle w:val="Heading2"/>
      </w:pPr>
      <w:r>
        <w:t xml:space="preserve">6. Conclusion</w:t>
      </w:r>
    </w:p>
    <w:p>
      <w:pPr>
        <w:pStyle w:val="FirstParagraph"/>
      </w:pPr>
      <w:r>
        <w:t xml:space="preserve">In conclusion, this Peer Review Report affirms that the University Lecturer meets and, in many respects, exceeds the expectations of their role within a UK higher education institution in Birmingham. Their contributions to teaching, research, scholarship, and service are significant, impactful, and aligned with the values of academic excellence and public engagement. The lecturer is well-positioned to continue their professional development and to play an increasingly influential role in the academic and civic life of Birmingham and the United Kingdom.</w:t>
      </w:r>
    </w:p>
    <w:bookmarkEnd w:id="26"/>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Institution:</w:t>
      </w:r>
      <w:r>
        <w:t xml:space="preserve"> </w:t>
      </w:r>
      <w:r>
        <w:t xml:space="preserve">[Insert Institution]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2026-10-10T08:14:29Z</dcterms:created>
  <dcterms:modified xsi:type="dcterms:W3CDTF">2026-10-10T08:14:29Z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