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 UI Designer Performance Evaluation</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Product Design Team</w:t>
      </w:r>
    </w:p>
    <w:bookmarkEnd w:id="20"/>
    <w:bookmarkStart w:id="21" w:name="executive-summary"/>
    <w:p>
      <w:pPr>
        <w:pStyle w:val="Heading2"/>
      </w:pPr>
      <w:r>
        <w:t xml:space="preserve">1. Executive Summary</w:t>
      </w:r>
    </w:p>
    <w:p>
      <w:pPr>
        <w:pStyle w:val="FirstParagraph"/>
      </w:pPr>
      <w:r>
        <w:t xml:space="preserve">This Peer Review Report evaluates the performance, design capabilities, and collaborative contributions of a UX UI Designer operating within the dynamic tech ecosystem of Indonesia Jakarta. The purpose of this document is to provide a comprehensive assessment of the designer's ability to create user-centered digital products that resonate with the local market while adhering to global design standards. The review focuses on key areas such as user research, interface design, prototyping, collaboration, and adaptability to the unique cultural and technological landscape of Jakarta.</w:t>
      </w:r>
    </w:p>
    <w:bookmarkEnd w:id="21"/>
    <w:bookmarkStart w:id="22" w:name="Xf8cca10e0d15360460ea3a40aa4716a7109df0f"/>
    <w:p>
      <w:pPr>
        <w:pStyle w:val="Heading2"/>
      </w:pPr>
      <w:r>
        <w:t xml:space="preserve">2. Context: UX UI Design in Indonesia Jakarta</w:t>
      </w:r>
    </w:p>
    <w:p>
      <w:pPr>
        <w:pStyle w:val="FirstParagraph"/>
      </w:pPr>
      <w:r>
        <w:t xml:space="preserve">Indonesia Jakarta is one of the fastest-growing tech hubs in Southeast Asia, with a rapidly expanding digital economy. The city's diverse population, varying levels of digital literacy, and unique cultural preferences present both challenges and opportunities for UX UI designers. A successful UX UI Designer in this region must balance global design principles with local user needs, ensuring that products are accessible, intuitive, and culturally relevant.</w:t>
      </w:r>
    </w:p>
    <w:p>
      <w:pPr>
        <w:pStyle w:val="BodyText"/>
      </w:pPr>
      <w:r>
        <w:t xml:space="preserve">Key considerations for UX UI design in Indonesia Jakarta include:</w:t>
      </w:r>
    </w:p>
    <w:p>
      <w:pPr>
        <w:numPr>
          <w:ilvl w:val="0"/>
          <w:numId w:val="1001"/>
        </w:numPr>
        <w:pStyle w:val="Compact"/>
      </w:pPr>
      <w:r>
        <w:rPr>
          <w:bCs/>
          <w:b/>
        </w:rPr>
        <w:t xml:space="preserve">Mobile-First Approach:</w:t>
      </w:r>
      <w:r>
        <w:t xml:space="preserve"> </w:t>
      </w:r>
      <w:r>
        <w:t xml:space="preserve">The majority of internet users in Jakarta access the web via mobile devices, making responsive and mobile-optimized design critical.</w:t>
      </w:r>
    </w:p>
    <w:p>
      <w:pPr>
        <w:numPr>
          <w:ilvl w:val="0"/>
          <w:numId w:val="1001"/>
        </w:numPr>
        <w:pStyle w:val="Compact"/>
      </w:pPr>
      <w:r>
        <w:rPr>
          <w:bCs/>
          <w:b/>
        </w:rPr>
        <w:t xml:space="preserve">Cultural Sensitivity:</w:t>
      </w:r>
      <w:r>
        <w:t xml:space="preserve"> </w:t>
      </w:r>
      <w:r>
        <w:t xml:space="preserve">Designs must account for local languages, symbols, and cultural norms to ensure inclusivity and engagement.</w:t>
      </w:r>
    </w:p>
    <w:p>
      <w:pPr>
        <w:numPr>
          <w:ilvl w:val="0"/>
          <w:numId w:val="1001"/>
        </w:numPr>
        <w:pStyle w:val="Compact"/>
      </w:pPr>
      <w:r>
        <w:rPr>
          <w:bCs/>
          <w:b/>
        </w:rPr>
        <w:t xml:space="preserve">Performance Optimization:</w:t>
      </w:r>
      <w:r>
        <w:t xml:space="preserve"> </w:t>
      </w:r>
      <w:r>
        <w:t xml:space="preserve">Internet connectivity can vary, so lightweight and fast-loading interfaces are essential.</w:t>
      </w:r>
    </w:p>
    <w:p>
      <w:pPr>
        <w:numPr>
          <w:ilvl w:val="0"/>
          <w:numId w:val="1001"/>
        </w:numPr>
        <w:pStyle w:val="Compact"/>
      </w:pPr>
      <w:r>
        <w:rPr>
          <w:bCs/>
          <w:b/>
        </w:rPr>
        <w:t xml:space="preserve">Local Market Trends:</w:t>
      </w:r>
      <w:r>
        <w:t xml:space="preserve"> </w:t>
      </w:r>
      <w:r>
        <w:t xml:space="preserve">Understanding the preferences of Jakarta's tech-savvy youth and growing middle class is vital for creating compelling user experiences.</w:t>
      </w:r>
    </w:p>
    <w:bookmarkEnd w:id="22"/>
    <w:bookmarkStart w:id="23" w:name="evaluation-criteria"/>
    <w:p>
      <w:pPr>
        <w:pStyle w:val="Heading2"/>
      </w:pPr>
      <w:r>
        <w:t xml:space="preserve">3. Evaluation Criteria</w:t>
      </w:r>
    </w:p>
    <w:p>
      <w:pPr>
        <w:pStyle w:val="FirstParagraph"/>
      </w:pPr>
      <w:r>
        <w:t xml:space="preserve">The following criteria were used to assess the UX UI Designer's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User Research</w:t>
            </w:r>
          </w:p>
        </w:tc>
        <w:tc>
          <w:tcPr/>
          <w:p>
            <w:pPr>
              <w:pStyle w:val="Compact"/>
              <w:jc w:val="left"/>
            </w:pPr>
            <w:r>
              <w:t xml:space="preserve">Ability to conduct and apply user research to inform design decisions.</w:t>
            </w:r>
          </w:p>
        </w:tc>
        <w:tc>
          <w:tcPr/>
          <w:p>
            <w:pPr>
              <w:pStyle w:val="Compact"/>
              <w:jc w:val="left"/>
            </w:pPr>
            <w:r>
              <w:t xml:space="preserve">4</w:t>
            </w:r>
          </w:p>
        </w:tc>
      </w:tr>
      <w:tr>
        <w:tc>
          <w:tcPr/>
          <w:p>
            <w:pPr>
              <w:pStyle w:val="Compact"/>
              <w:jc w:val="left"/>
            </w:pPr>
            <w:r>
              <w:t xml:space="preserve">Interface Design</w:t>
            </w:r>
          </w:p>
        </w:tc>
        <w:tc>
          <w:tcPr/>
          <w:p>
            <w:pPr>
              <w:pStyle w:val="Compact"/>
              <w:jc w:val="left"/>
            </w:pPr>
            <w:r>
              <w:t xml:space="preserve">Quality and usability of visual and interactive designs.</w:t>
            </w:r>
          </w:p>
        </w:tc>
        <w:tc>
          <w:tcPr/>
          <w:p>
            <w:pPr>
              <w:pStyle w:val="Compact"/>
              <w:jc w:val="left"/>
            </w:pPr>
            <w:r>
              <w:t xml:space="preserve">5</w:t>
            </w:r>
          </w:p>
        </w:tc>
      </w:tr>
      <w:tr>
        <w:tc>
          <w:tcPr/>
          <w:p>
            <w:pPr>
              <w:pStyle w:val="Compact"/>
              <w:jc w:val="left"/>
            </w:pPr>
            <w:r>
              <w:t xml:space="preserve">Prototyping</w:t>
            </w:r>
          </w:p>
        </w:tc>
        <w:tc>
          <w:tcPr/>
          <w:p>
            <w:pPr>
              <w:pStyle w:val="Compact"/>
              <w:jc w:val="left"/>
            </w:pPr>
            <w:r>
              <w:t xml:space="preserve">Effectiveness of prototypes in communicating design ideas and testing concepts.</w:t>
            </w:r>
          </w:p>
        </w:tc>
        <w:tc>
          <w:tcPr/>
          <w:p>
            <w:pPr>
              <w:pStyle w:val="Compact"/>
              <w:jc w:val="left"/>
            </w:pPr>
            <w:r>
              <w:t xml:space="preserve">4</w:t>
            </w:r>
          </w:p>
        </w:tc>
      </w:tr>
      <w:tr>
        <w:tc>
          <w:tcPr/>
          <w:p>
            <w:pPr>
              <w:pStyle w:val="Compact"/>
              <w:jc w:val="left"/>
            </w:pPr>
            <w:r>
              <w:t xml:space="preserve">Collaboration</w:t>
            </w:r>
          </w:p>
        </w:tc>
        <w:tc>
          <w:tcPr/>
          <w:p>
            <w:pPr>
              <w:pStyle w:val="Compact"/>
              <w:jc w:val="left"/>
            </w:pPr>
            <w:r>
              <w:t xml:space="preserve">Ability to work with cross-functional teams, including developers, product managers, and stakeholders.</w:t>
            </w:r>
          </w:p>
        </w:tc>
        <w:tc>
          <w:tcPr/>
          <w:p>
            <w:pPr>
              <w:pStyle w:val="Compact"/>
              <w:jc w:val="left"/>
            </w:pPr>
            <w:r>
              <w:t xml:space="preserve">5</w:t>
            </w:r>
          </w:p>
        </w:tc>
      </w:tr>
      <w:tr>
        <w:tc>
          <w:tcPr/>
          <w:p>
            <w:pPr>
              <w:pStyle w:val="Compact"/>
              <w:jc w:val="left"/>
            </w:pPr>
            <w:r>
              <w:t xml:space="preserve">Adaptability</w:t>
            </w:r>
          </w:p>
        </w:tc>
        <w:tc>
          <w:tcPr/>
          <w:p>
            <w:pPr>
              <w:pStyle w:val="Compact"/>
              <w:jc w:val="left"/>
            </w:pPr>
            <w:r>
              <w:t xml:space="preserve">Responsiveness to feedback and ability to adapt designs to local market needs.</w:t>
            </w:r>
          </w:p>
        </w:tc>
        <w:tc>
          <w:tcPr/>
          <w:p>
            <w:pPr>
              <w:pStyle w:val="Compact"/>
              <w:jc w:val="left"/>
            </w:pPr>
            <w:r>
              <w:t xml:space="preserve">4</w:t>
            </w:r>
          </w:p>
        </w:tc>
      </w:tr>
    </w:tbl>
    <w:bookmarkEnd w:id="23"/>
    <w:bookmarkStart w:id="29" w:name="detailed-assessment"/>
    <w:p>
      <w:pPr>
        <w:pStyle w:val="Heading2"/>
      </w:pPr>
      <w:r>
        <w:t xml:space="preserve">4. Detailed Assessment</w:t>
      </w:r>
    </w:p>
    <w:bookmarkStart w:id="24" w:name="user-research"/>
    <w:p>
      <w:pPr>
        <w:pStyle w:val="Heading3"/>
      </w:pPr>
      <w:r>
        <w:t xml:space="preserve">4.1 User Research</w:t>
      </w:r>
    </w:p>
    <w:p>
      <w:pPr>
        <w:pStyle w:val="FirstParagraph"/>
      </w:pPr>
      <w:r>
        <w:t xml:space="preserve">The UX UI Designer demonstrated a strong understanding of user research methodologies, including interviews, surveys, and usability testing. Their ability to gather insights from Jakarta's diverse user base was commendable, particularly in identifying pain points related to mobile app navigation and payment processes. However, there is room for improvement in translating research findings into actionable design recommendations more consistently.</w:t>
      </w:r>
    </w:p>
    <w:bookmarkEnd w:id="24"/>
    <w:bookmarkStart w:id="25" w:name="interface-design"/>
    <w:p>
      <w:pPr>
        <w:pStyle w:val="Heading3"/>
      </w:pPr>
      <w:r>
        <w:t xml:space="preserve">4.2 Interface Design</w:t>
      </w:r>
    </w:p>
    <w:p>
      <w:pPr>
        <w:pStyle w:val="FirstParagraph"/>
      </w:pPr>
      <w:r>
        <w:t xml:space="preserve">The designer excelled in creating visually appealing and intuitive interfaces that align with both global standards and local preferences. Their use of color, typography, and layout effectively communicated the brand's identity while ensuring accessibility for users with varying levels of digital literacy. The mobile-first approach was particularly well-executed, reflecting the realities of internet usage in Indonesia Jakarta.</w:t>
      </w:r>
    </w:p>
    <w:bookmarkEnd w:id="25"/>
    <w:bookmarkStart w:id="26" w:name="prototyping"/>
    <w:p>
      <w:pPr>
        <w:pStyle w:val="Heading3"/>
      </w:pPr>
      <w:r>
        <w:t xml:space="preserve">4.3 Prototyping</w:t>
      </w:r>
    </w:p>
    <w:p>
      <w:pPr>
        <w:pStyle w:val="FirstParagraph"/>
      </w:pPr>
      <w:r>
        <w:t xml:space="preserve">Prototypes created by the designer were interactive and detailed, enabling stakeholders to visualize the final product effectively. Tools such as Figma and Adobe XD were utilized proficiently. However, incorporating more iterative testing with real users in Jakarta could further enhance the quality and relevance of the prototypes.</w:t>
      </w:r>
    </w:p>
    <w:bookmarkEnd w:id="26"/>
    <w:bookmarkStart w:id="27" w:name="collaboration"/>
    <w:p>
      <w:pPr>
        <w:pStyle w:val="Heading3"/>
      </w:pPr>
      <w:r>
        <w:t xml:space="preserve">4.4 Collaboration</w:t>
      </w:r>
    </w:p>
    <w:p>
      <w:pPr>
        <w:pStyle w:val="FirstParagraph"/>
      </w:pPr>
      <w:r>
        <w:t xml:space="preserve">The UX UI Designer worked seamlessly with cross-functional teams, fostering a collaborative environment that encouraged open communication and innovation. Their ability to articulate design decisions and incorporate feedback from developers and product managers was a significant strength. This collaborative approach is particularly important in Jakarta's fast-paced tech industry, where agility and teamwork are essential.</w:t>
      </w:r>
    </w:p>
    <w:bookmarkEnd w:id="27"/>
    <w:bookmarkStart w:id="28" w:name="adaptability"/>
    <w:p>
      <w:pPr>
        <w:pStyle w:val="Heading3"/>
      </w:pPr>
      <w:r>
        <w:t xml:space="preserve">4.5 Adaptability</w:t>
      </w:r>
    </w:p>
    <w:p>
      <w:pPr>
        <w:pStyle w:val="FirstParagraph"/>
      </w:pPr>
      <w:r>
        <w:t xml:space="preserve">The designer showed a high degree of adaptability, quickly adjusting designs based on user feedback and market trends. Their willingness to experiment with new ideas and incorporate local cultural elements into the design process demonstrated a deep understanding of the Indonesia Jakarta market. Continued focus on staying updated with emerging design trends and technologies will further enhance their adaptability.</w:t>
      </w:r>
    </w:p>
    <w:bookmarkEnd w:id="28"/>
    <w:bookmarkEnd w:id="29"/>
    <w:bookmarkStart w:id="30" w:name="strengths"/>
    <w:p>
      <w:pPr>
        <w:pStyle w:val="Heading2"/>
      </w:pPr>
      <w:r>
        <w:t xml:space="preserve">5. Strengths</w:t>
      </w:r>
    </w:p>
    <w:p>
      <w:pPr>
        <w:numPr>
          <w:ilvl w:val="0"/>
          <w:numId w:val="1002"/>
        </w:numPr>
        <w:pStyle w:val="Compact"/>
      </w:pPr>
      <w:r>
        <w:t xml:space="preserve">Strong visual design skills with a focus on usability and accessibility.</w:t>
      </w:r>
    </w:p>
    <w:p>
      <w:pPr>
        <w:numPr>
          <w:ilvl w:val="0"/>
          <w:numId w:val="1002"/>
        </w:numPr>
        <w:pStyle w:val="Compact"/>
      </w:pPr>
      <w:r>
        <w:t xml:space="preserve">Effective collaboration with cross-functional teams.</w:t>
      </w:r>
    </w:p>
    <w:p>
      <w:pPr>
        <w:numPr>
          <w:ilvl w:val="0"/>
          <w:numId w:val="1002"/>
        </w:numPr>
        <w:pStyle w:val="Compact"/>
      </w:pPr>
      <w:r>
        <w:t xml:space="preserve">Ability to create mobile-first designs tailored to Jakarta's user base.</w:t>
      </w:r>
    </w:p>
    <w:p>
      <w:pPr>
        <w:numPr>
          <w:ilvl w:val="0"/>
          <w:numId w:val="1002"/>
        </w:numPr>
        <w:pStyle w:val="Compact"/>
      </w:pPr>
      <w:r>
        <w:t xml:space="preserve">High adaptability to feedback and local market needs.</w:t>
      </w:r>
    </w:p>
    <w:bookmarkEnd w:id="30"/>
    <w:bookmarkStart w:id="31" w:name="areas-for-improvement"/>
    <w:p>
      <w:pPr>
        <w:pStyle w:val="Heading2"/>
      </w:pPr>
      <w:r>
        <w:t xml:space="preserve">6. Areas for Improvement</w:t>
      </w:r>
    </w:p>
    <w:p>
      <w:pPr>
        <w:numPr>
          <w:ilvl w:val="0"/>
          <w:numId w:val="1003"/>
        </w:numPr>
        <w:pStyle w:val="Compact"/>
      </w:pPr>
      <w:r>
        <w:t xml:space="preserve">Enhance the translation of user research findings into design decisions.</w:t>
      </w:r>
    </w:p>
    <w:p>
      <w:pPr>
        <w:numPr>
          <w:ilvl w:val="0"/>
          <w:numId w:val="1003"/>
        </w:numPr>
        <w:pStyle w:val="Compact"/>
      </w:pPr>
      <w:r>
        <w:t xml:space="preserve">Incorporate more iterative user testing in the prototyping phase.</w:t>
      </w:r>
    </w:p>
    <w:p>
      <w:pPr>
        <w:numPr>
          <w:ilvl w:val="0"/>
          <w:numId w:val="1003"/>
        </w:numPr>
        <w:pStyle w:val="Compact"/>
      </w:pPr>
      <w:r>
        <w:t xml:space="preserve">Stay updated with emerging design tools and trends to maintain a competitive edge.</w:t>
      </w:r>
    </w:p>
    <w:bookmarkEnd w:id="31"/>
    <w:bookmarkStart w:id="32" w:name="conclusion"/>
    <w:p>
      <w:pPr>
        <w:pStyle w:val="Heading2"/>
      </w:pPr>
      <w:r>
        <w:t xml:space="preserve">7. Conclusion</w:t>
      </w:r>
    </w:p>
    <w:p>
      <w:pPr>
        <w:pStyle w:val="FirstParagraph"/>
      </w:pPr>
      <w:r>
        <w:t xml:space="preserve">Overall, the UX UI Designer has demonstrated exceptional skills and a deep understanding of the unique challenges and opportunities presented by the Indonesia Jakarta market. Their ability to create user-centered designs that are both visually appealing and culturally relevant is a significant asset to the team. By addressing the identified areas for improvement, the designer can further elevate their contributions and continue to drive innovation in the region's tech ecosystem.</w:t>
      </w:r>
    </w:p>
    <w:p>
      <w:pPr>
        <w:pStyle w:val="BodyText"/>
      </w:pPr>
      <w:r>
        <w:t xml:space="preserve">This Peer Review Report serves as a constructive evaluation aimed at supporting the professional growth of the UX UI Designer and ensuring the continued success of design initiatives in Indonesia Jakarta.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Indonesia Jakarta</dc:title>
  <dc:creator/>
  <dc:language>en</dc:language>
  <cp:keywords/>
  <dcterms:created xsi:type="dcterms:W3CDTF">2026-10-10T04:35:16Z</dcterms:created>
  <dcterms:modified xsi:type="dcterms:W3CDTF">2026-10-10T04:35:16Z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